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left"/>
        <w:textAlignment w:val="bottom"/>
        <w:rPr>
          <w:b/>
          <w:color w:val="auto"/>
          <w:sz w:val="24"/>
          <w:highlight w:val="none"/>
        </w:rPr>
      </w:pPr>
      <w:bookmarkStart w:id="28" w:name="_GoBack"/>
      <w:r>
        <w:rPr>
          <w:rFonts w:hint="eastAsia"/>
          <w:b/>
          <w:color w:val="auto"/>
          <w:sz w:val="24"/>
          <w:highlight w:val="none"/>
        </w:rPr>
        <w:drawing>
          <wp:inline distT="0" distB="0" distL="114300" distR="114300">
            <wp:extent cx="2216785" cy="405130"/>
            <wp:effectExtent l="0" t="0" r="12065" b="13970"/>
            <wp:docPr id="4" name="图片 1" descr="1651117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51117450(1)"/>
                    <pic:cNvPicPr>
                      <a:picLocks noChangeAspect="1"/>
                    </pic:cNvPicPr>
                  </pic:nvPicPr>
                  <pic:blipFill>
                    <a:blip r:embed="rId18"/>
                    <a:stretch>
                      <a:fillRect/>
                    </a:stretch>
                  </pic:blipFill>
                  <pic:spPr>
                    <a:xfrm>
                      <a:off x="0" y="0"/>
                      <a:ext cx="2216785" cy="405130"/>
                    </a:xfrm>
                    <a:prstGeom prst="rect">
                      <a:avLst/>
                    </a:prstGeom>
                    <a:noFill/>
                    <a:ln>
                      <a:noFill/>
                    </a:ln>
                  </pic:spPr>
                </pic:pic>
              </a:graphicData>
            </a:graphic>
          </wp:inline>
        </w:drawing>
      </w:r>
    </w:p>
    <w:p>
      <w:pPr>
        <w:autoSpaceDE w:val="0"/>
        <w:autoSpaceDN w:val="0"/>
        <w:jc w:val="center"/>
        <w:textAlignment w:val="bottom"/>
        <w:rPr>
          <w:b/>
          <w:color w:val="auto"/>
          <w:sz w:val="24"/>
          <w:highlight w:val="none"/>
        </w:rPr>
      </w:pPr>
    </w:p>
    <w:p>
      <w:pPr>
        <w:spacing w:line="360" w:lineRule="auto"/>
        <w:jc w:val="center"/>
        <w:rPr>
          <w:b/>
          <w:color w:val="auto"/>
          <w:sz w:val="44"/>
          <w:szCs w:val="44"/>
          <w:highlight w:val="none"/>
        </w:rPr>
      </w:pPr>
    </w:p>
    <w:p>
      <w:pPr>
        <w:spacing w:line="360" w:lineRule="auto"/>
        <w:jc w:val="center"/>
        <w:rPr>
          <w:rFonts w:ascii="黑体" w:hAnsi="黑体" w:eastAsia="黑体" w:cs="黑体"/>
          <w:color w:val="auto"/>
          <w:sz w:val="44"/>
          <w:szCs w:val="44"/>
          <w:highlight w:val="none"/>
        </w:rPr>
      </w:pPr>
      <w:r>
        <w:rPr>
          <w:rFonts w:hint="eastAsia" w:ascii="黑体" w:hAnsi="黑体" w:eastAsia="黑体" w:cs="黑体"/>
          <w:color w:val="auto"/>
          <w:sz w:val="44"/>
          <w:szCs w:val="44"/>
          <w:highlight w:val="none"/>
          <w:u w:val="single"/>
        </w:rPr>
        <w:t>宁波机场集团有限公司印刷品采购</w:t>
      </w:r>
      <w:r>
        <w:rPr>
          <w:rFonts w:hint="eastAsia" w:ascii="黑体" w:hAnsi="黑体" w:eastAsia="黑体" w:cs="黑体"/>
          <w:color w:val="auto"/>
          <w:sz w:val="44"/>
          <w:szCs w:val="44"/>
          <w:highlight w:val="none"/>
        </w:rPr>
        <w:t>项目</w:t>
      </w:r>
    </w:p>
    <w:p>
      <w:pPr>
        <w:spacing w:line="360" w:lineRule="auto"/>
        <w:jc w:val="center"/>
        <w:rPr>
          <w:b/>
          <w:color w:val="auto"/>
          <w:sz w:val="32"/>
          <w:szCs w:val="32"/>
          <w:highlight w:val="none"/>
        </w:rPr>
      </w:pPr>
    </w:p>
    <w:p>
      <w:pPr>
        <w:autoSpaceDE w:val="0"/>
        <w:autoSpaceDN w:val="0"/>
        <w:jc w:val="center"/>
        <w:textAlignment w:val="bottom"/>
        <w:rPr>
          <w:b/>
          <w:color w:val="auto"/>
          <w:sz w:val="44"/>
          <w:highlight w:val="none"/>
        </w:rPr>
      </w:pPr>
    </w:p>
    <w:p>
      <w:pPr>
        <w:autoSpaceDE w:val="0"/>
        <w:autoSpaceDN w:val="0"/>
        <w:jc w:val="center"/>
        <w:textAlignment w:val="bottom"/>
        <w:rPr>
          <w:b/>
          <w:color w:val="auto"/>
          <w:sz w:val="44"/>
          <w:highlight w:val="none"/>
        </w:rPr>
      </w:pPr>
    </w:p>
    <w:p>
      <w:pPr>
        <w:autoSpaceDE w:val="0"/>
        <w:autoSpaceDN w:val="0"/>
        <w:jc w:val="center"/>
        <w:textAlignment w:val="bottom"/>
        <w:outlineLvl w:val="0"/>
        <w:rPr>
          <w:rFonts w:ascii="黑体" w:hAnsi="黑体" w:eastAsia="黑体" w:cs="黑体"/>
          <w:bCs/>
          <w:color w:val="auto"/>
          <w:sz w:val="84"/>
          <w:highlight w:val="none"/>
        </w:rPr>
      </w:pPr>
      <w:r>
        <w:rPr>
          <w:rFonts w:hint="eastAsia" w:ascii="黑体" w:hAnsi="黑体" w:eastAsia="黑体" w:cs="黑体"/>
          <w:bCs/>
          <w:color w:val="auto"/>
          <w:sz w:val="84"/>
          <w:highlight w:val="none"/>
        </w:rPr>
        <w:t>招 标 文 件</w:t>
      </w:r>
    </w:p>
    <w:p>
      <w:pPr>
        <w:autoSpaceDE w:val="0"/>
        <w:autoSpaceDN w:val="0"/>
        <w:jc w:val="center"/>
        <w:textAlignment w:val="bottom"/>
        <w:outlineLvl w:val="0"/>
        <w:rPr>
          <w:b/>
          <w:color w:val="auto"/>
          <w:sz w:val="32"/>
          <w:szCs w:val="28"/>
          <w:highlight w:val="none"/>
        </w:rPr>
      </w:pPr>
    </w:p>
    <w:p>
      <w:pPr>
        <w:autoSpaceDE w:val="0"/>
        <w:autoSpaceDN w:val="0"/>
        <w:spacing w:line="360" w:lineRule="auto"/>
        <w:jc w:val="center"/>
        <w:textAlignment w:val="bottom"/>
        <w:outlineLvl w:val="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招标编号：</w:t>
      </w:r>
      <w:r>
        <w:rPr>
          <w:rFonts w:hint="eastAsia"/>
          <w:color w:val="auto"/>
          <w:sz w:val="32"/>
          <w:szCs w:val="32"/>
          <w:highlight w:val="none"/>
        </w:rPr>
        <w:t>正吉建代字【2024】026</w:t>
      </w:r>
    </w:p>
    <w:p>
      <w:pPr>
        <w:autoSpaceDE w:val="0"/>
        <w:autoSpaceDN w:val="0"/>
        <w:ind w:firstLine="1080" w:firstLineChars="300"/>
        <w:jc w:val="center"/>
        <w:textAlignment w:val="bottom"/>
        <w:rPr>
          <w:b/>
          <w:color w:val="auto"/>
          <w:sz w:val="36"/>
          <w:highlight w:val="none"/>
        </w:rPr>
      </w:pPr>
    </w:p>
    <w:p>
      <w:pPr>
        <w:autoSpaceDE w:val="0"/>
        <w:autoSpaceDN w:val="0"/>
        <w:ind w:firstLine="1080" w:firstLineChars="300"/>
        <w:jc w:val="center"/>
        <w:textAlignment w:val="bottom"/>
        <w:rPr>
          <w:b/>
          <w:color w:val="auto"/>
          <w:sz w:val="36"/>
          <w:highlight w:val="none"/>
        </w:rPr>
      </w:pPr>
    </w:p>
    <w:p>
      <w:pPr>
        <w:autoSpaceDE w:val="0"/>
        <w:autoSpaceDN w:val="0"/>
        <w:ind w:firstLine="1080" w:firstLineChars="300"/>
        <w:jc w:val="center"/>
        <w:textAlignment w:val="bottom"/>
        <w:rPr>
          <w:b/>
          <w:color w:val="auto"/>
          <w:sz w:val="36"/>
          <w:highlight w:val="none"/>
        </w:rPr>
      </w:pPr>
    </w:p>
    <w:p>
      <w:pPr>
        <w:autoSpaceDE w:val="0"/>
        <w:autoSpaceDN w:val="0"/>
        <w:ind w:firstLine="960" w:firstLineChars="300"/>
        <w:textAlignment w:val="bottom"/>
        <w:rPr>
          <w:rFonts w:ascii="黑体" w:hAnsi="黑体" w:eastAsia="黑体" w:cs="黑体"/>
          <w:bCs/>
          <w:color w:val="auto"/>
          <w:sz w:val="32"/>
          <w:szCs w:val="32"/>
          <w:highlight w:val="none"/>
          <w:u w:val="single"/>
        </w:rPr>
      </w:pPr>
      <w:r>
        <w:rPr>
          <w:rFonts w:hint="eastAsia" w:ascii="黑体" w:hAnsi="黑体" w:eastAsia="黑体" w:cs="黑体"/>
          <w:bCs/>
          <w:color w:val="auto"/>
          <w:sz w:val="32"/>
          <w:szCs w:val="32"/>
          <w:highlight w:val="none"/>
        </w:rPr>
        <w:t>招 标 人：宁波机场集团有限公司（盖章）</w:t>
      </w:r>
    </w:p>
    <w:p>
      <w:pPr>
        <w:autoSpaceDE w:val="0"/>
        <w:autoSpaceDN w:val="0"/>
        <w:spacing w:line="360" w:lineRule="auto"/>
        <w:ind w:firstLine="944" w:firstLineChars="295"/>
        <w:textAlignment w:val="bottom"/>
        <w:outlineLvl w:val="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招标代理：宁波正吉工程管理咨询有限公司（盖章）</w:t>
      </w:r>
    </w:p>
    <w:p>
      <w:pPr>
        <w:autoSpaceDE w:val="0"/>
        <w:autoSpaceDN w:val="0"/>
        <w:spacing w:line="360" w:lineRule="auto"/>
        <w:ind w:firstLine="944" w:firstLineChars="295"/>
        <w:textAlignment w:val="bottom"/>
        <w:outlineLvl w:val="0"/>
        <w:rPr>
          <w:rFonts w:hAnsi="宋体"/>
          <w:b/>
          <w:color w:val="auto"/>
          <w:sz w:val="32"/>
          <w:szCs w:val="32"/>
          <w:highlight w:val="none"/>
        </w:rPr>
      </w:pPr>
      <w:r>
        <w:rPr>
          <w:rFonts w:hint="eastAsia" w:ascii="黑体" w:hAnsi="黑体" w:eastAsia="黑体" w:cs="黑体"/>
          <w:bCs/>
          <w:color w:val="auto"/>
          <w:sz w:val="32"/>
          <w:szCs w:val="32"/>
          <w:highlight w:val="none"/>
        </w:rPr>
        <w:t>备案部门：宁波机场集团有限公司企划发展部</w:t>
      </w:r>
    </w:p>
    <w:p>
      <w:pPr>
        <w:autoSpaceDE w:val="0"/>
        <w:autoSpaceDN w:val="0"/>
        <w:spacing w:line="360" w:lineRule="auto"/>
        <w:ind w:firstLine="960" w:firstLineChars="300"/>
        <w:jc w:val="center"/>
        <w:textAlignment w:val="bottom"/>
        <w:outlineLvl w:val="0"/>
        <w:rPr>
          <w:b/>
          <w:color w:val="auto"/>
          <w:sz w:val="32"/>
          <w:szCs w:val="32"/>
          <w:highlight w:val="none"/>
        </w:rPr>
      </w:pPr>
    </w:p>
    <w:p>
      <w:pPr>
        <w:autoSpaceDE w:val="0"/>
        <w:autoSpaceDN w:val="0"/>
        <w:spacing w:line="360" w:lineRule="auto"/>
        <w:jc w:val="center"/>
        <w:textAlignment w:val="bottom"/>
        <w:outlineLvl w:val="0"/>
        <w:rPr>
          <w:b/>
          <w:color w:val="auto"/>
          <w:sz w:val="32"/>
          <w:szCs w:val="32"/>
          <w:highlight w:val="none"/>
        </w:rPr>
      </w:pPr>
      <w:r>
        <w:rPr>
          <w:rFonts w:hint="eastAsia" w:ascii="黑体" w:hAnsi="黑体" w:eastAsia="黑体" w:cs="宋体"/>
          <w:color w:val="auto"/>
          <w:kern w:val="0"/>
          <w:sz w:val="32"/>
          <w:szCs w:val="32"/>
          <w:highlight w:val="none"/>
        </w:rPr>
        <w:t>二〇二四年三月</w:t>
      </w:r>
    </w:p>
    <w:p>
      <w:pPr>
        <w:spacing w:line="360" w:lineRule="auto"/>
        <w:jc w:val="center"/>
        <w:rPr>
          <w:color w:val="auto"/>
          <w:highlight w:val="none"/>
        </w:rPr>
        <w:sectPr>
          <w:headerReference r:id="rId4" w:type="first"/>
          <w:headerReference r:id="rId3" w:type="default"/>
          <w:footerReference r:id="rId5" w:type="default"/>
          <w:footerReference r:id="rId6" w:type="even"/>
          <w:pgSz w:w="11906" w:h="16838"/>
          <w:pgMar w:top="1418" w:right="1644" w:bottom="1418" w:left="1644" w:header="851" w:footer="992" w:gutter="0"/>
          <w:pgNumType w:start="0"/>
          <w:cols w:space="720" w:num="1"/>
          <w:titlePg/>
          <w:docGrid w:type="linesAndChars" w:linePitch="312" w:charSpace="0"/>
        </w:sectPr>
      </w:pPr>
    </w:p>
    <w:p>
      <w:pPr>
        <w:jc w:val="center"/>
        <w:rPr>
          <w:b/>
          <w:color w:val="auto"/>
          <w:sz w:val="44"/>
          <w:szCs w:val="44"/>
          <w:highlight w:val="none"/>
        </w:rPr>
      </w:pPr>
      <w:r>
        <w:rPr>
          <w:rFonts w:hAnsi="宋体"/>
          <w:b/>
          <w:color w:val="auto"/>
          <w:sz w:val="44"/>
          <w:szCs w:val="44"/>
          <w:highlight w:val="none"/>
        </w:rPr>
        <w:t>目</w:t>
      </w:r>
      <w:r>
        <w:rPr>
          <w:b/>
          <w:color w:val="auto"/>
          <w:sz w:val="44"/>
          <w:szCs w:val="44"/>
          <w:highlight w:val="none"/>
        </w:rPr>
        <w:t xml:space="preserve">    </w:t>
      </w:r>
      <w:r>
        <w:rPr>
          <w:rFonts w:hAnsi="宋体"/>
          <w:b/>
          <w:color w:val="auto"/>
          <w:sz w:val="44"/>
          <w:szCs w:val="44"/>
          <w:highlight w:val="none"/>
        </w:rPr>
        <w:t>录</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ascii="Times New Roman" w:hAnsi="宋体"/>
          <w:color w:val="auto"/>
          <w:sz w:val="28"/>
          <w:szCs w:val="28"/>
          <w:highlight w:val="none"/>
        </w:rPr>
        <w:t>第一章</w:t>
      </w:r>
      <w:r>
        <w:rPr>
          <w:rFonts w:ascii="Times New Roman" w:hAnsi="Times New Roman"/>
          <w:color w:val="auto"/>
          <w:sz w:val="28"/>
          <w:szCs w:val="28"/>
          <w:highlight w:val="none"/>
        </w:rPr>
        <w:t xml:space="preserve">  </w:t>
      </w:r>
      <w:r>
        <w:rPr>
          <w:rFonts w:ascii="Times New Roman" w:hAnsi="宋体"/>
          <w:color w:val="auto"/>
          <w:sz w:val="28"/>
          <w:szCs w:val="28"/>
          <w:highlight w:val="none"/>
        </w:rPr>
        <w:t>招标公告</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ascii="Times New Roman" w:hAnsi="宋体"/>
          <w:color w:val="auto"/>
          <w:sz w:val="28"/>
          <w:szCs w:val="28"/>
          <w:highlight w:val="none"/>
        </w:rPr>
        <w:t>第二章</w:t>
      </w:r>
      <w:r>
        <w:rPr>
          <w:rFonts w:ascii="Times New Roman" w:hAnsi="Times New Roman"/>
          <w:color w:val="auto"/>
          <w:sz w:val="28"/>
          <w:szCs w:val="28"/>
          <w:highlight w:val="none"/>
        </w:rPr>
        <w:t xml:space="preserve">  </w:t>
      </w:r>
      <w:r>
        <w:rPr>
          <w:rFonts w:ascii="Times New Roman" w:hAnsi="宋体"/>
          <w:color w:val="auto"/>
          <w:sz w:val="28"/>
          <w:szCs w:val="28"/>
          <w:highlight w:val="none"/>
        </w:rPr>
        <w:t>投标人须知</w:t>
      </w:r>
    </w:p>
    <w:p>
      <w:pPr>
        <w:pStyle w:val="7"/>
        <w:adjustRightInd w:val="0"/>
        <w:snapToGrid w:val="0"/>
        <w:spacing w:line="440" w:lineRule="exact"/>
        <w:ind w:firstLine="1400" w:firstLineChars="500"/>
        <w:jc w:val="left"/>
        <w:rPr>
          <w:rFonts w:ascii="Times New Roman" w:hAnsi="Times New Roman"/>
          <w:color w:val="auto"/>
          <w:sz w:val="28"/>
          <w:szCs w:val="28"/>
          <w:highlight w:val="none"/>
        </w:rPr>
      </w:pPr>
      <w:r>
        <w:rPr>
          <w:rFonts w:ascii="Times New Roman" w:hAnsi="宋体"/>
          <w:color w:val="auto"/>
          <w:sz w:val="28"/>
          <w:szCs w:val="28"/>
          <w:highlight w:val="none"/>
        </w:rPr>
        <w:t>投标人须知前附表</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（一）</w:t>
      </w:r>
      <w:r>
        <w:rPr>
          <w:rFonts w:ascii="Times New Roman" w:hAnsi="宋体"/>
          <w:color w:val="auto"/>
          <w:sz w:val="28"/>
          <w:szCs w:val="28"/>
          <w:highlight w:val="none"/>
        </w:rPr>
        <w:t>总则</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（二）</w:t>
      </w:r>
      <w:r>
        <w:rPr>
          <w:rFonts w:ascii="Times New Roman" w:hAnsi="宋体"/>
          <w:color w:val="auto"/>
          <w:sz w:val="28"/>
          <w:szCs w:val="28"/>
          <w:highlight w:val="none"/>
        </w:rPr>
        <w:t>招标文件说明</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（三）</w:t>
      </w:r>
      <w:r>
        <w:rPr>
          <w:rFonts w:ascii="Times New Roman" w:hAnsi="宋体"/>
          <w:color w:val="auto"/>
          <w:sz w:val="28"/>
          <w:szCs w:val="28"/>
          <w:highlight w:val="none"/>
        </w:rPr>
        <w:t>投标文件的编制</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（四）</w:t>
      </w:r>
      <w:r>
        <w:rPr>
          <w:rFonts w:ascii="Times New Roman" w:hAnsi="宋体"/>
          <w:color w:val="auto"/>
          <w:sz w:val="28"/>
          <w:szCs w:val="28"/>
          <w:highlight w:val="none"/>
        </w:rPr>
        <w:t>投标文件的递交</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（五）</w:t>
      </w:r>
      <w:r>
        <w:rPr>
          <w:rFonts w:ascii="Times New Roman" w:hAnsi="宋体"/>
          <w:color w:val="auto"/>
          <w:sz w:val="28"/>
          <w:szCs w:val="28"/>
          <w:highlight w:val="none"/>
        </w:rPr>
        <w:t>开标和评标</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（六）</w:t>
      </w:r>
      <w:r>
        <w:rPr>
          <w:rFonts w:ascii="Times New Roman" w:hAnsi="宋体"/>
          <w:color w:val="auto"/>
          <w:sz w:val="28"/>
          <w:szCs w:val="28"/>
          <w:highlight w:val="none"/>
        </w:rPr>
        <w:t>授予合同</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ascii="Times New Roman" w:hAnsi="宋体"/>
          <w:color w:val="auto"/>
          <w:sz w:val="28"/>
          <w:szCs w:val="28"/>
          <w:highlight w:val="none"/>
        </w:rPr>
        <w:t>第三章</w:t>
      </w:r>
      <w:r>
        <w:rPr>
          <w:rFonts w:ascii="Times New Roman" w:hAnsi="Times New Roman"/>
          <w:color w:val="auto"/>
          <w:sz w:val="28"/>
          <w:szCs w:val="28"/>
          <w:highlight w:val="none"/>
        </w:rPr>
        <w:t xml:space="preserve">  </w:t>
      </w:r>
      <w:r>
        <w:rPr>
          <w:rFonts w:hint="eastAsia" w:ascii="Times New Roman" w:hAnsi="宋体"/>
          <w:color w:val="auto"/>
          <w:sz w:val="28"/>
          <w:szCs w:val="28"/>
          <w:highlight w:val="none"/>
        </w:rPr>
        <w:t>招标</w:t>
      </w:r>
      <w:r>
        <w:rPr>
          <w:rFonts w:ascii="Times New Roman" w:hAnsi="宋体"/>
          <w:color w:val="auto"/>
          <w:sz w:val="28"/>
          <w:szCs w:val="28"/>
          <w:highlight w:val="none"/>
        </w:rPr>
        <w:t>内容</w:t>
      </w:r>
      <w:r>
        <w:rPr>
          <w:rFonts w:hint="eastAsia" w:ascii="Times New Roman" w:hAnsi="宋体"/>
          <w:color w:val="auto"/>
          <w:sz w:val="28"/>
          <w:szCs w:val="28"/>
          <w:highlight w:val="none"/>
        </w:rPr>
        <w:t>及</w:t>
      </w:r>
      <w:r>
        <w:rPr>
          <w:rFonts w:ascii="Times New Roman" w:hAnsi="宋体"/>
          <w:color w:val="auto"/>
          <w:sz w:val="28"/>
          <w:szCs w:val="28"/>
          <w:highlight w:val="none"/>
        </w:rPr>
        <w:t>要求</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（一）货物清单</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（二）技术标准及要求</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hint="eastAsia" w:ascii="Times New Roman" w:hAnsi="宋体"/>
          <w:color w:val="auto"/>
          <w:sz w:val="28"/>
          <w:szCs w:val="28"/>
          <w:highlight w:val="none"/>
        </w:rPr>
        <w:t>（三）服务标准及要求</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ascii="Times New Roman" w:hAnsi="宋体"/>
          <w:color w:val="auto"/>
          <w:sz w:val="28"/>
          <w:szCs w:val="28"/>
          <w:highlight w:val="none"/>
        </w:rPr>
        <w:t>第四章</w:t>
      </w:r>
      <w:r>
        <w:rPr>
          <w:rFonts w:ascii="Times New Roman" w:hAnsi="Times New Roman"/>
          <w:color w:val="auto"/>
          <w:sz w:val="28"/>
          <w:szCs w:val="28"/>
          <w:highlight w:val="none"/>
        </w:rPr>
        <w:t xml:space="preserve">  </w:t>
      </w:r>
      <w:r>
        <w:rPr>
          <w:rFonts w:ascii="Times New Roman" w:hAnsi="宋体"/>
          <w:color w:val="auto"/>
          <w:sz w:val="28"/>
          <w:szCs w:val="28"/>
          <w:highlight w:val="none"/>
        </w:rPr>
        <w:t>合同主要条款</w:t>
      </w:r>
      <w:r>
        <w:rPr>
          <w:rFonts w:hint="eastAsia" w:ascii="Times New Roman" w:hAnsi="宋体"/>
          <w:color w:val="auto"/>
          <w:sz w:val="28"/>
          <w:szCs w:val="28"/>
          <w:highlight w:val="none"/>
        </w:rPr>
        <w:t>及格式</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ascii="Times New Roman" w:hAnsi="宋体"/>
          <w:color w:val="auto"/>
          <w:sz w:val="28"/>
          <w:szCs w:val="28"/>
          <w:highlight w:val="none"/>
        </w:rPr>
        <w:t>第五章</w:t>
      </w:r>
      <w:r>
        <w:rPr>
          <w:rFonts w:ascii="Times New Roman" w:hAnsi="Times New Roman"/>
          <w:color w:val="auto"/>
          <w:sz w:val="28"/>
          <w:szCs w:val="28"/>
          <w:highlight w:val="none"/>
        </w:rPr>
        <w:t xml:space="preserve">  </w:t>
      </w:r>
      <w:r>
        <w:rPr>
          <w:rFonts w:ascii="Times New Roman" w:hAnsi="宋体"/>
          <w:color w:val="auto"/>
          <w:sz w:val="28"/>
          <w:szCs w:val="28"/>
          <w:highlight w:val="none"/>
        </w:rPr>
        <w:t>投标文件格式</w:t>
      </w:r>
    </w:p>
    <w:p>
      <w:pPr>
        <w:pStyle w:val="7"/>
        <w:adjustRightInd w:val="0"/>
        <w:snapToGrid w:val="0"/>
        <w:spacing w:line="440" w:lineRule="exact"/>
        <w:ind w:left="2419" w:leftChars="258" w:hanging="1878" w:hangingChars="671"/>
        <w:jc w:val="left"/>
        <w:rPr>
          <w:rFonts w:hAnsi="宋体"/>
          <w:color w:val="auto"/>
          <w:sz w:val="28"/>
          <w:szCs w:val="28"/>
          <w:highlight w:val="none"/>
        </w:rPr>
      </w:pPr>
      <w:r>
        <w:rPr>
          <w:rFonts w:hint="eastAsia" w:hAnsi="宋体"/>
          <w:color w:val="auto"/>
          <w:sz w:val="28"/>
          <w:szCs w:val="28"/>
          <w:highlight w:val="none"/>
        </w:rPr>
        <w:t>（一）</w:t>
      </w:r>
      <w:r>
        <w:rPr>
          <w:rFonts w:hAnsi="宋体"/>
          <w:color w:val="auto"/>
          <w:sz w:val="28"/>
          <w:szCs w:val="28"/>
          <w:highlight w:val="none"/>
        </w:rPr>
        <w:t>投标函</w:t>
      </w:r>
    </w:p>
    <w:p>
      <w:pPr>
        <w:pStyle w:val="7"/>
        <w:adjustRightInd w:val="0"/>
        <w:snapToGrid w:val="0"/>
        <w:spacing w:line="440" w:lineRule="exact"/>
        <w:ind w:left="2419" w:leftChars="258" w:hanging="1878" w:hangingChars="671"/>
        <w:jc w:val="left"/>
        <w:rPr>
          <w:rFonts w:hAnsi="宋体"/>
          <w:color w:val="auto"/>
          <w:sz w:val="28"/>
          <w:szCs w:val="28"/>
          <w:highlight w:val="none"/>
        </w:rPr>
      </w:pPr>
      <w:r>
        <w:rPr>
          <w:rFonts w:hint="eastAsia" w:hAnsi="宋体"/>
          <w:bCs/>
          <w:color w:val="auto"/>
          <w:sz w:val="28"/>
          <w:szCs w:val="28"/>
          <w:highlight w:val="none"/>
        </w:rPr>
        <w:t>（二）法定代表人身份证明</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（三）授权委托书</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（四）投标报价表</w:t>
      </w:r>
    </w:p>
    <w:p>
      <w:pPr>
        <w:pStyle w:val="7"/>
        <w:adjustRightInd w:val="0"/>
        <w:snapToGrid w:val="0"/>
        <w:spacing w:line="440" w:lineRule="exact"/>
        <w:ind w:left="2419" w:leftChars="258" w:hanging="1878" w:hangingChars="671"/>
        <w:jc w:val="left"/>
        <w:rPr>
          <w:rFonts w:hAnsi="宋体"/>
          <w:color w:val="auto"/>
          <w:sz w:val="28"/>
          <w:szCs w:val="28"/>
          <w:highlight w:val="none"/>
        </w:rPr>
      </w:pPr>
      <w:r>
        <w:rPr>
          <w:rFonts w:hint="eastAsia" w:hAnsi="宋体"/>
          <w:color w:val="auto"/>
          <w:sz w:val="28"/>
          <w:szCs w:val="28"/>
          <w:highlight w:val="none"/>
        </w:rPr>
        <w:t>（五）投标人</w:t>
      </w:r>
      <w:r>
        <w:rPr>
          <w:rFonts w:hAnsi="宋体"/>
          <w:color w:val="auto"/>
          <w:sz w:val="28"/>
          <w:szCs w:val="28"/>
          <w:highlight w:val="none"/>
        </w:rPr>
        <w:t>资格证明文件</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（六）技术规格偏离表</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（七）商务条款响应</w:t>
      </w:r>
      <w:r>
        <w:rPr>
          <w:rFonts w:ascii="Times New Roman" w:hAnsi="宋体"/>
          <w:color w:val="auto"/>
          <w:sz w:val="28"/>
          <w:szCs w:val="28"/>
          <w:highlight w:val="none"/>
        </w:rPr>
        <w:t>偏离表</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（八）资料一览表</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（九）打分资料</w:t>
      </w:r>
      <w:r>
        <w:rPr>
          <w:rFonts w:ascii="Times New Roman" w:hAnsi="宋体"/>
          <w:color w:val="auto"/>
          <w:sz w:val="28"/>
          <w:szCs w:val="28"/>
          <w:highlight w:val="none"/>
        </w:rPr>
        <w:t>一览表</w:t>
      </w:r>
    </w:p>
    <w:p>
      <w:pPr>
        <w:pStyle w:val="7"/>
        <w:adjustRightInd w:val="0"/>
        <w:snapToGrid w:val="0"/>
        <w:spacing w:line="440" w:lineRule="exact"/>
        <w:ind w:left="2419" w:leftChars="258" w:hanging="1878" w:hangingChars="671"/>
        <w:jc w:val="left"/>
        <w:rPr>
          <w:rFonts w:ascii="Times New Roman" w:hAnsi="宋体"/>
          <w:color w:val="auto"/>
          <w:sz w:val="28"/>
          <w:szCs w:val="28"/>
          <w:highlight w:val="none"/>
        </w:rPr>
      </w:pPr>
      <w:r>
        <w:rPr>
          <w:rFonts w:hint="eastAsia" w:ascii="Times New Roman" w:hAnsi="宋体"/>
          <w:color w:val="auto"/>
          <w:sz w:val="28"/>
          <w:szCs w:val="28"/>
          <w:highlight w:val="none"/>
        </w:rPr>
        <w:t>（十）无犯罪记录承诺</w:t>
      </w:r>
      <w:r>
        <w:rPr>
          <w:rFonts w:ascii="Times New Roman" w:hAnsi="宋体"/>
          <w:color w:val="auto"/>
          <w:sz w:val="28"/>
          <w:szCs w:val="28"/>
          <w:highlight w:val="none"/>
        </w:rPr>
        <w:t>声明</w:t>
      </w:r>
    </w:p>
    <w:p>
      <w:pPr>
        <w:pStyle w:val="7"/>
        <w:adjustRightInd w:val="0"/>
        <w:snapToGrid w:val="0"/>
        <w:spacing w:line="440" w:lineRule="exact"/>
        <w:ind w:left="2419" w:leftChars="258" w:hanging="1878" w:hangingChars="671"/>
        <w:jc w:val="left"/>
        <w:rPr>
          <w:rFonts w:ascii="Times New Roman" w:hAnsi="Times New Roman"/>
          <w:color w:val="auto"/>
          <w:sz w:val="28"/>
          <w:szCs w:val="28"/>
          <w:highlight w:val="none"/>
        </w:rPr>
      </w:pPr>
      <w:r>
        <w:rPr>
          <w:rFonts w:ascii="Times New Roman" w:hAnsi="宋体"/>
          <w:color w:val="auto"/>
          <w:sz w:val="28"/>
          <w:szCs w:val="28"/>
          <w:highlight w:val="none"/>
        </w:rPr>
        <w:t>第六章</w:t>
      </w:r>
      <w:r>
        <w:rPr>
          <w:rFonts w:ascii="Times New Roman" w:hAnsi="Times New Roman"/>
          <w:color w:val="auto"/>
          <w:sz w:val="28"/>
          <w:szCs w:val="28"/>
          <w:highlight w:val="none"/>
        </w:rPr>
        <w:t xml:space="preserve">  </w:t>
      </w:r>
      <w:r>
        <w:rPr>
          <w:rFonts w:ascii="Times New Roman" w:hAnsi="宋体"/>
          <w:color w:val="auto"/>
          <w:sz w:val="28"/>
          <w:szCs w:val="28"/>
          <w:highlight w:val="none"/>
        </w:rPr>
        <w:t>评标办法</w:t>
      </w:r>
      <w:r>
        <w:rPr>
          <w:rFonts w:hint="eastAsia" w:ascii="Times New Roman" w:hAnsi="宋体"/>
          <w:color w:val="auto"/>
          <w:sz w:val="28"/>
          <w:szCs w:val="28"/>
          <w:highlight w:val="none"/>
        </w:rPr>
        <w:t xml:space="preserve"> </w:t>
      </w:r>
    </w:p>
    <w:p>
      <w:pPr>
        <w:spacing w:line="440" w:lineRule="exact"/>
        <w:jc w:val="left"/>
        <w:rPr>
          <w:b/>
          <w:color w:val="auto"/>
          <w:sz w:val="24"/>
          <w:highlight w:val="none"/>
        </w:rPr>
      </w:pPr>
    </w:p>
    <w:p>
      <w:pPr>
        <w:spacing w:line="400" w:lineRule="exact"/>
        <w:ind w:firstLine="411" w:firstLineChars="196"/>
        <w:jc w:val="left"/>
        <w:rPr>
          <w:b/>
          <w:color w:val="auto"/>
          <w:szCs w:val="21"/>
          <w:highlight w:val="none"/>
        </w:rPr>
      </w:pPr>
      <w:r>
        <w:rPr>
          <w:rFonts w:hAnsi="宋体"/>
          <w:b/>
          <w:color w:val="auto"/>
          <w:szCs w:val="21"/>
          <w:highlight w:val="none"/>
        </w:rPr>
        <w:t>备注：招标文件中加</w:t>
      </w:r>
      <w:r>
        <w:rPr>
          <w:b/>
          <w:color w:val="auto"/>
          <w:szCs w:val="21"/>
          <w:highlight w:val="none"/>
        </w:rPr>
        <w:t>“</w:t>
      </w:r>
      <w:r>
        <w:rPr>
          <w:rFonts w:ascii="宋体" w:hAnsi="宋体"/>
          <w:b/>
          <w:color w:val="auto"/>
          <w:szCs w:val="21"/>
          <w:highlight w:val="none"/>
        </w:rPr>
        <w:t>★</w:t>
      </w:r>
      <w:r>
        <w:rPr>
          <w:b/>
          <w:color w:val="auto"/>
          <w:szCs w:val="21"/>
          <w:highlight w:val="none"/>
        </w:rPr>
        <w:t>”</w:t>
      </w:r>
      <w:r>
        <w:rPr>
          <w:rFonts w:hAnsi="宋体"/>
          <w:b/>
          <w:color w:val="auto"/>
          <w:szCs w:val="21"/>
          <w:highlight w:val="none"/>
        </w:rPr>
        <w:t>的条款，为本招标项目的实质性要求和条件，任何负偏离</w:t>
      </w:r>
      <w:r>
        <w:rPr>
          <w:rFonts w:hint="eastAsia" w:hAnsi="宋体"/>
          <w:b/>
          <w:color w:val="auto"/>
          <w:szCs w:val="21"/>
          <w:highlight w:val="none"/>
        </w:rPr>
        <w:t>将</w:t>
      </w:r>
      <w:r>
        <w:rPr>
          <w:rFonts w:hAnsi="宋体"/>
          <w:b/>
          <w:color w:val="auto"/>
          <w:szCs w:val="21"/>
          <w:highlight w:val="none"/>
        </w:rPr>
        <w:t>导致废标。</w:t>
      </w:r>
      <w:r>
        <w:rPr>
          <w:rFonts w:hint="eastAsia" w:hAnsi="宋体"/>
          <w:b/>
          <w:color w:val="auto"/>
          <w:szCs w:val="21"/>
          <w:highlight w:val="none"/>
        </w:rPr>
        <w:t>请</w:t>
      </w:r>
      <w:r>
        <w:rPr>
          <w:rFonts w:hAnsi="宋体"/>
          <w:b/>
          <w:color w:val="auto"/>
          <w:szCs w:val="21"/>
          <w:highlight w:val="none"/>
        </w:rPr>
        <w:t>各投标人注意，并认真查看招标文件中的每一个条款及要求，因误读招标文件而造成的后果，招标人概不负责。</w:t>
      </w:r>
    </w:p>
    <w:p>
      <w:pPr>
        <w:spacing w:line="360" w:lineRule="auto"/>
        <w:jc w:val="left"/>
        <w:rPr>
          <w:b/>
          <w:color w:val="auto"/>
          <w:szCs w:val="21"/>
          <w:highlight w:val="none"/>
        </w:rPr>
        <w:sectPr>
          <w:pgSz w:w="11906" w:h="16838"/>
          <w:pgMar w:top="1440" w:right="1800" w:bottom="1440" w:left="1800" w:header="851" w:footer="992" w:gutter="0"/>
          <w:cols w:space="720" w:num="1"/>
          <w:docGrid w:type="linesAndChars" w:linePitch="312" w:charSpace="0"/>
        </w:sectPr>
      </w:pPr>
    </w:p>
    <w:p>
      <w:pPr>
        <w:jc w:val="center"/>
        <w:rPr>
          <w:b/>
          <w:color w:val="auto"/>
          <w:sz w:val="36"/>
          <w:szCs w:val="36"/>
          <w:highlight w:val="none"/>
        </w:rPr>
      </w:pPr>
      <w:r>
        <w:rPr>
          <w:rFonts w:hAnsi="宋体"/>
          <w:b/>
          <w:color w:val="auto"/>
          <w:sz w:val="36"/>
          <w:szCs w:val="36"/>
          <w:highlight w:val="none"/>
        </w:rPr>
        <w:t>第一章</w:t>
      </w:r>
      <w:r>
        <w:rPr>
          <w:b/>
          <w:color w:val="auto"/>
          <w:sz w:val="36"/>
          <w:szCs w:val="36"/>
          <w:highlight w:val="none"/>
        </w:rPr>
        <w:t xml:space="preserve">  </w:t>
      </w:r>
      <w:r>
        <w:rPr>
          <w:rFonts w:hAnsi="宋体"/>
          <w:b/>
          <w:color w:val="auto"/>
          <w:sz w:val="36"/>
          <w:szCs w:val="36"/>
          <w:highlight w:val="none"/>
        </w:rPr>
        <w:t>招标公告</w:t>
      </w:r>
    </w:p>
    <w:p>
      <w:pPr>
        <w:adjustRightInd w:val="0"/>
        <w:snapToGrid w:val="0"/>
        <w:spacing w:line="440" w:lineRule="exact"/>
        <w:rPr>
          <w:b/>
          <w:color w:val="auto"/>
          <w:highlight w:val="none"/>
        </w:rPr>
      </w:pPr>
      <w:bookmarkStart w:id="0" w:name="_Toc289873916"/>
      <w:r>
        <w:rPr>
          <w:b/>
          <w:color w:val="auto"/>
          <w:highlight w:val="none"/>
        </w:rPr>
        <w:t>1</w:t>
      </w:r>
      <w:r>
        <w:rPr>
          <w:rFonts w:hint="eastAsia"/>
          <w:b/>
          <w:color w:val="auto"/>
          <w:highlight w:val="none"/>
        </w:rPr>
        <w:t>．招标条件</w:t>
      </w:r>
      <w:bookmarkEnd w:id="0"/>
    </w:p>
    <w:p>
      <w:pPr>
        <w:adjustRightInd w:val="0"/>
        <w:snapToGrid w:val="0"/>
        <w:spacing w:line="440" w:lineRule="exact"/>
        <w:ind w:firstLine="420" w:firstLineChars="200"/>
        <w:rPr>
          <w:rFonts w:ascii="宋体" w:hAnsi="宋体"/>
          <w:color w:val="auto"/>
          <w:szCs w:val="21"/>
          <w:highlight w:val="none"/>
        </w:rPr>
      </w:pPr>
      <w:bookmarkStart w:id="1" w:name="_Toc289873917"/>
      <w:r>
        <w:rPr>
          <w:rFonts w:hint="eastAsia" w:ascii="宋体" w:hAnsi="宋体"/>
          <w:color w:val="auto"/>
          <w:szCs w:val="21"/>
          <w:highlight w:val="none"/>
          <w:u w:val="single"/>
        </w:rPr>
        <w:t>宁波机场集团有限公司印刷品采购</w:t>
      </w:r>
      <w:r>
        <w:rPr>
          <w:rFonts w:hint="eastAsia" w:ascii="宋体" w:hAnsi="宋体"/>
          <w:color w:val="auto"/>
          <w:szCs w:val="21"/>
          <w:highlight w:val="none"/>
        </w:rPr>
        <w:t>项目（编号：</w:t>
      </w:r>
      <w:r>
        <w:rPr>
          <w:rFonts w:hint="eastAsia" w:ascii="宋体" w:hAnsi="宋体"/>
          <w:color w:val="auto"/>
          <w:szCs w:val="21"/>
          <w:highlight w:val="none"/>
          <w:u w:val="single"/>
        </w:rPr>
        <w:t>正吉建代字【2024】026</w:t>
      </w:r>
      <w:r>
        <w:rPr>
          <w:rFonts w:hint="eastAsia" w:ascii="宋体" w:hAnsi="宋体"/>
          <w:color w:val="auto"/>
          <w:szCs w:val="21"/>
          <w:highlight w:val="none"/>
        </w:rPr>
        <w:t>）招标人为</w:t>
      </w:r>
      <w:r>
        <w:rPr>
          <w:rFonts w:hint="eastAsia" w:ascii="宋体" w:hAnsi="宋体"/>
          <w:color w:val="auto"/>
          <w:szCs w:val="21"/>
          <w:highlight w:val="none"/>
          <w:u w:val="single"/>
        </w:rPr>
        <w:t>宁波机场集团有限公司</w:t>
      </w:r>
      <w:r>
        <w:rPr>
          <w:rFonts w:hint="eastAsia" w:ascii="宋体" w:hAnsi="宋体"/>
          <w:color w:val="auto"/>
          <w:szCs w:val="21"/>
          <w:highlight w:val="none"/>
        </w:rPr>
        <w:t>，</w:t>
      </w:r>
      <w:r>
        <w:rPr>
          <w:rFonts w:hint="eastAsia" w:ascii="宋体" w:hAnsi="宋体" w:cs="宋体"/>
          <w:color w:val="auto"/>
          <w:szCs w:val="21"/>
          <w:highlight w:val="none"/>
        </w:rPr>
        <w:t>资金：</w:t>
      </w:r>
      <w:r>
        <w:rPr>
          <w:rFonts w:hint="eastAsia" w:ascii="宋体" w:hAnsi="宋体" w:cs="宋体"/>
          <w:color w:val="auto"/>
          <w:szCs w:val="21"/>
          <w:highlight w:val="none"/>
          <w:u w:val="single"/>
        </w:rPr>
        <w:t>自筹</w:t>
      </w:r>
      <w:r>
        <w:rPr>
          <w:rFonts w:hint="eastAsia" w:ascii="宋体" w:hAnsi="宋体" w:cs="宋体"/>
          <w:color w:val="auto"/>
          <w:szCs w:val="21"/>
          <w:highlight w:val="none"/>
        </w:rPr>
        <w:t>。出资比例为</w:t>
      </w:r>
      <w:r>
        <w:rPr>
          <w:rFonts w:hint="eastAsia" w:ascii="宋体" w:hAnsi="宋体" w:cs="宋体"/>
          <w:color w:val="auto"/>
          <w:szCs w:val="21"/>
          <w:highlight w:val="none"/>
          <w:u w:val="single"/>
        </w:rPr>
        <w:t>100%</w:t>
      </w:r>
      <w:r>
        <w:rPr>
          <w:rFonts w:hint="eastAsia" w:ascii="宋体" w:hAnsi="宋体" w:cs="宋体"/>
          <w:color w:val="auto"/>
          <w:szCs w:val="21"/>
          <w:highlight w:val="none"/>
        </w:rPr>
        <w:t>。</w:t>
      </w:r>
      <w:r>
        <w:rPr>
          <w:rFonts w:hint="eastAsia" w:ascii="宋体" w:hAnsi="宋体"/>
          <w:color w:val="auto"/>
          <w:szCs w:val="21"/>
          <w:highlight w:val="none"/>
        </w:rPr>
        <w:t>项目己具备招标条件，现</w:t>
      </w:r>
      <w:r>
        <w:rPr>
          <w:rFonts w:hint="eastAsia" w:ascii="宋体" w:hAnsi="宋体"/>
          <w:color w:val="auto"/>
          <w:szCs w:val="21"/>
          <w:highlight w:val="none"/>
          <w:u w:val="single"/>
        </w:rPr>
        <w:t>宁波正吉工程管理咨询有限公司</w:t>
      </w:r>
      <w:r>
        <w:rPr>
          <w:rFonts w:hint="eastAsia" w:ascii="宋体" w:hAnsi="宋体"/>
          <w:color w:val="auto"/>
          <w:szCs w:val="21"/>
          <w:highlight w:val="none"/>
        </w:rPr>
        <w:t>受业主委托，对该项目的</w:t>
      </w:r>
      <w:r>
        <w:rPr>
          <w:rFonts w:hint="eastAsia" w:ascii="宋体" w:hAnsi="宋体"/>
          <w:color w:val="auto"/>
          <w:szCs w:val="21"/>
          <w:highlight w:val="none"/>
          <w:u w:val="single"/>
        </w:rPr>
        <w:t xml:space="preserve">宁波机场集团有限公司印刷品采购项目 </w:t>
      </w:r>
      <w:r>
        <w:rPr>
          <w:rFonts w:hint="eastAsia" w:ascii="宋体" w:hAnsi="宋体"/>
          <w:color w:val="auto"/>
          <w:szCs w:val="21"/>
          <w:highlight w:val="none"/>
        </w:rPr>
        <w:t>进行公开招标。</w:t>
      </w:r>
    </w:p>
    <w:p>
      <w:pPr>
        <w:adjustRightInd w:val="0"/>
        <w:snapToGrid w:val="0"/>
        <w:spacing w:line="440" w:lineRule="exact"/>
        <w:rPr>
          <w:b/>
          <w:color w:val="auto"/>
          <w:highlight w:val="none"/>
        </w:rPr>
      </w:pPr>
      <w:r>
        <w:rPr>
          <w:b/>
          <w:color w:val="auto"/>
          <w:highlight w:val="none"/>
        </w:rPr>
        <w:t>2</w:t>
      </w:r>
      <w:r>
        <w:rPr>
          <w:rFonts w:hint="eastAsia"/>
          <w:b/>
          <w:color w:val="auto"/>
          <w:highlight w:val="none"/>
        </w:rPr>
        <w:t>．项目概况</w:t>
      </w:r>
      <w:bookmarkEnd w:id="1"/>
    </w:p>
    <w:p>
      <w:pPr>
        <w:adjustRightInd w:val="0"/>
        <w:snapToGrid w:val="0"/>
        <w:spacing w:line="440" w:lineRule="exact"/>
        <w:ind w:firstLine="420" w:firstLineChars="200"/>
        <w:rPr>
          <w:color w:val="auto"/>
          <w:szCs w:val="21"/>
          <w:highlight w:val="none"/>
          <w:u w:val="single"/>
        </w:rPr>
      </w:pPr>
      <w:r>
        <w:rPr>
          <w:rFonts w:hint="eastAsia" w:ascii="宋体" w:hAnsi="宋体"/>
          <w:color w:val="auto"/>
          <w:szCs w:val="21"/>
          <w:highlight w:val="none"/>
        </w:rPr>
        <w:t>（1）</w:t>
      </w:r>
      <w:r>
        <w:rPr>
          <w:color w:val="auto"/>
          <w:szCs w:val="21"/>
          <w:highlight w:val="none"/>
        </w:rPr>
        <w:t>招标</w:t>
      </w:r>
      <w:r>
        <w:rPr>
          <w:rFonts w:hint="eastAsia"/>
          <w:color w:val="auto"/>
          <w:szCs w:val="21"/>
          <w:highlight w:val="none"/>
        </w:rPr>
        <w:t>内容：</w:t>
      </w:r>
      <w:r>
        <w:rPr>
          <w:rFonts w:hint="eastAsia"/>
          <w:color w:val="auto"/>
          <w:szCs w:val="21"/>
          <w:highlight w:val="none"/>
          <w:u w:val="single"/>
        </w:rPr>
        <w:t>采购印刷品1批。</w:t>
      </w:r>
    </w:p>
    <w:p>
      <w:pPr>
        <w:adjustRightInd w:val="0"/>
        <w:snapToGrid w:val="0"/>
        <w:spacing w:line="440" w:lineRule="exact"/>
        <w:ind w:firstLine="420" w:firstLineChars="200"/>
        <w:rPr>
          <w:color w:val="auto"/>
          <w:szCs w:val="21"/>
          <w:highlight w:val="none"/>
          <w:u w:val="single"/>
        </w:rPr>
      </w:pPr>
      <w:r>
        <w:rPr>
          <w:rFonts w:hint="eastAsia" w:ascii="宋体" w:hAnsi="宋体"/>
          <w:color w:val="auto"/>
          <w:szCs w:val="21"/>
          <w:highlight w:val="none"/>
        </w:rPr>
        <w:t>（2）招标预算（最高限价）：</w:t>
      </w:r>
      <w:r>
        <w:rPr>
          <w:rFonts w:hint="eastAsia" w:ascii="宋体" w:hAnsi="宋体"/>
          <w:color w:val="auto"/>
          <w:szCs w:val="21"/>
          <w:highlight w:val="none"/>
          <w:u w:val="single"/>
        </w:rPr>
        <w:t>500000元（含税金额），442478元（不含税金额）</w:t>
      </w:r>
      <w:r>
        <w:rPr>
          <w:rFonts w:hint="eastAsia" w:ascii="宋体" w:hAnsi="宋体" w:cs="宋体"/>
          <w:color w:val="auto"/>
          <w:szCs w:val="21"/>
          <w:highlight w:val="none"/>
          <w:u w:val="single"/>
        </w:rPr>
        <w:t>；</w:t>
      </w:r>
    </w:p>
    <w:p>
      <w:pPr>
        <w:adjustRightInd w:val="0"/>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（3）服务期限</w:t>
      </w:r>
      <w:r>
        <w:rPr>
          <w:rFonts w:ascii="宋体" w:hAnsi="宋体"/>
          <w:color w:val="auto"/>
          <w:szCs w:val="21"/>
          <w:highlight w:val="none"/>
        </w:rPr>
        <w:t>：</w:t>
      </w:r>
      <w:r>
        <w:rPr>
          <w:rFonts w:hint="eastAsia" w:hAnsi="宋体"/>
          <w:color w:val="auto"/>
          <w:szCs w:val="21"/>
          <w:highlight w:val="none"/>
          <w:u w:val="single"/>
        </w:rPr>
        <w:t>自合同签订之日起至2</w:t>
      </w:r>
      <w:r>
        <w:rPr>
          <w:rFonts w:hAnsi="宋体"/>
          <w:color w:val="auto"/>
          <w:szCs w:val="21"/>
          <w:highlight w:val="none"/>
          <w:u w:val="single"/>
        </w:rPr>
        <w:t>026</w:t>
      </w:r>
      <w:r>
        <w:rPr>
          <w:rFonts w:hint="eastAsia" w:hAnsi="宋体"/>
          <w:color w:val="auto"/>
          <w:szCs w:val="21"/>
          <w:highlight w:val="none"/>
          <w:u w:val="single"/>
        </w:rPr>
        <w:t>年1</w:t>
      </w:r>
      <w:r>
        <w:rPr>
          <w:rFonts w:hAnsi="宋体"/>
          <w:color w:val="auto"/>
          <w:szCs w:val="21"/>
          <w:highlight w:val="none"/>
          <w:u w:val="single"/>
        </w:rPr>
        <w:t>2</w:t>
      </w:r>
      <w:r>
        <w:rPr>
          <w:rFonts w:hint="eastAsia" w:hAnsi="宋体"/>
          <w:color w:val="auto"/>
          <w:szCs w:val="21"/>
          <w:highlight w:val="none"/>
          <w:u w:val="single"/>
        </w:rPr>
        <w:t>月3</w:t>
      </w:r>
      <w:r>
        <w:rPr>
          <w:rFonts w:hAnsi="宋体"/>
          <w:color w:val="auto"/>
          <w:szCs w:val="21"/>
          <w:highlight w:val="none"/>
          <w:u w:val="single"/>
        </w:rPr>
        <w:t>1</w:t>
      </w:r>
      <w:r>
        <w:rPr>
          <w:rFonts w:hint="eastAsia" w:hAnsi="宋体"/>
          <w:color w:val="auto"/>
          <w:szCs w:val="21"/>
          <w:highlight w:val="none"/>
          <w:u w:val="single"/>
        </w:rPr>
        <w:t>日止</w:t>
      </w:r>
      <w:r>
        <w:rPr>
          <w:rFonts w:hint="eastAsia" w:ascii="宋体" w:hAnsi="宋体"/>
          <w:color w:val="auto"/>
          <w:szCs w:val="21"/>
          <w:highlight w:val="none"/>
          <w:u w:val="single"/>
        </w:rPr>
        <w:t>，按每批次订单要求交付；</w:t>
      </w:r>
      <w:bookmarkStart w:id="2" w:name="_Toc289873918"/>
    </w:p>
    <w:p>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（4）交货地点：宁波栎社国际机场；</w:t>
      </w:r>
    </w:p>
    <w:p>
      <w:pPr>
        <w:adjustRightInd w:val="0"/>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（5）质量要求：产品质量必须符合相关规范要求且一次性验收合格。</w:t>
      </w:r>
    </w:p>
    <w:p>
      <w:pPr>
        <w:adjustRightInd w:val="0"/>
        <w:snapToGrid w:val="0"/>
        <w:spacing w:line="440" w:lineRule="exact"/>
        <w:rPr>
          <w:b/>
          <w:color w:val="auto"/>
          <w:highlight w:val="none"/>
        </w:rPr>
      </w:pPr>
      <w:r>
        <w:rPr>
          <w:b/>
          <w:color w:val="auto"/>
          <w:highlight w:val="none"/>
        </w:rPr>
        <w:t>3</w:t>
      </w:r>
      <w:r>
        <w:rPr>
          <w:rFonts w:hint="eastAsia"/>
          <w:b/>
          <w:color w:val="auto"/>
          <w:highlight w:val="none"/>
        </w:rPr>
        <w:t>．投标人资格要求</w:t>
      </w:r>
      <w:bookmarkEnd w:id="2"/>
    </w:p>
    <w:p>
      <w:pPr>
        <w:snapToGrid w:val="0"/>
        <w:spacing w:line="360" w:lineRule="auto"/>
        <w:ind w:right="-21" w:rightChars="-10"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（1）投标人具有独立法人资格，需提供营业执照作为证明材料；</w:t>
      </w:r>
    </w:p>
    <w:p>
      <w:pPr>
        <w:snapToGrid w:val="0"/>
        <w:spacing w:line="360" w:lineRule="auto"/>
        <w:ind w:right="-21" w:rightChars="-10"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（2）投标人未被列入失信被执行人名单(以投标截止日“信用中国”网站查询结果为准)；</w:t>
      </w:r>
    </w:p>
    <w:p>
      <w:pPr>
        <w:snapToGrid w:val="0"/>
        <w:spacing w:line="360" w:lineRule="auto"/>
        <w:ind w:right="-21" w:rightChars="-10" w:firstLine="420" w:firstLineChars="200"/>
        <w:jc w:val="left"/>
        <w:rPr>
          <w:rFonts w:ascii="宋体" w:hAnsi="宋体" w:cs="宋体"/>
          <w:color w:val="auto"/>
          <w:szCs w:val="21"/>
          <w:highlight w:val="none"/>
        </w:rPr>
      </w:pPr>
      <w:r>
        <w:rPr>
          <w:rFonts w:hint="eastAsia" w:ascii="宋体" w:hAnsi="宋体" w:cs="宋体"/>
          <w:color w:val="auto"/>
          <w:szCs w:val="21"/>
          <w:highlight w:val="none"/>
        </w:rPr>
        <w:t>（3）2021年1月1日起至投标截止日止，投标人、拟派项目负责人无行贿犯罪记录(以中国裁判文书网查询结果为准)；</w:t>
      </w:r>
    </w:p>
    <w:p>
      <w:pPr>
        <w:snapToGrid w:val="0"/>
        <w:spacing w:line="360" w:lineRule="auto"/>
        <w:ind w:right="-21" w:rightChars="-10" w:firstLine="210" w:firstLineChars="100"/>
        <w:jc w:val="left"/>
        <w:rPr>
          <w:rFonts w:ascii="宋体" w:hAnsi="宋体" w:cs="宋体"/>
          <w:color w:val="auto"/>
          <w:szCs w:val="21"/>
          <w:highlight w:val="none"/>
        </w:rPr>
      </w:pPr>
      <w:r>
        <w:rPr>
          <w:rFonts w:hint="eastAsia" w:ascii="宋体" w:hAnsi="宋体" w:cs="宋体"/>
          <w:color w:val="auto"/>
          <w:szCs w:val="21"/>
          <w:highlight w:val="none"/>
        </w:rPr>
        <w:t xml:space="preserve">  （4）具有一般纳税人资格，可提供增值税专用发票(需提供下列四项证明材料中任意一项：1、主管税务部门出具的一般纳税人资格认定《税务事项通知书》；2、《增值税一般纳税人登记表》；3、打印投标人电子税务局一般纳税人资格查询网页)；4、其他可证明投标人为一般纳税人的证明材料；</w:t>
      </w:r>
    </w:p>
    <w:p>
      <w:pPr>
        <w:snapToGrid w:val="0"/>
        <w:spacing w:line="360" w:lineRule="auto"/>
        <w:ind w:right="-21" w:rightChars="-10" w:firstLine="420" w:firstLineChars="200"/>
        <w:jc w:val="left"/>
        <w:rPr>
          <w:rFonts w:ascii="宋体" w:hAnsi="宋体" w:cs="宋体"/>
          <w:color w:val="auto"/>
          <w:szCs w:val="21"/>
          <w:highlight w:val="none"/>
        </w:rPr>
      </w:pPr>
      <w:r>
        <w:rPr>
          <w:rFonts w:hint="eastAsia" w:ascii="宋体" w:hAnsi="宋体" w:cs="宋体"/>
          <w:color w:val="auto"/>
          <w:szCs w:val="21"/>
          <w:highlight w:val="none"/>
        </w:rPr>
        <w:t>（5）根据《中华人民共和国招标投标法》、《反不正当竞争法》、《宁波市重点工程项目参建单位和从业人员不良行为记录和公示暂行办法》等相关法律法规和浙江省机场集团有关规定，被国家各级司法、行政机关及浙江省机场集团列入禁止交易名单的单位和个人不得参与本项目的投标。</w:t>
      </w:r>
    </w:p>
    <w:p>
      <w:pPr>
        <w:snapToGrid w:val="0"/>
        <w:spacing w:line="360" w:lineRule="auto"/>
        <w:ind w:right="-21" w:rightChars="-10" w:firstLine="420" w:firstLineChars="200"/>
        <w:jc w:val="left"/>
        <w:rPr>
          <w:rFonts w:ascii="宋体" w:hAnsi="宋体" w:cs="宋体"/>
          <w:color w:val="auto"/>
          <w:szCs w:val="21"/>
          <w:highlight w:val="none"/>
        </w:rPr>
      </w:pPr>
      <w:r>
        <w:rPr>
          <w:rFonts w:hint="eastAsia" w:ascii="宋体" w:hAnsi="宋体" w:cs="宋体"/>
          <w:color w:val="auto"/>
          <w:szCs w:val="21"/>
          <w:highlight w:val="none"/>
        </w:rPr>
        <w:t>（6）法定代表人为同一个人的两个及两个以上法人，母公司、全资子公司及其控股公司，不得参加同一标段投标或者未划分标段的同一招标项目的投标。</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（7）投标人须具有政府颁发的并在有效期内的印刷经营许可证（须提供印刷经营许可证复印件并加盖投标人公章作为证明材料）。</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w:t>
      </w:r>
      <w:r>
        <w:rPr>
          <w:rFonts w:hint="eastAsia" w:ascii="宋体" w:hAnsi="宋体" w:cs="宋体"/>
          <w:color w:val="auto"/>
          <w:kern w:val="0"/>
          <w:szCs w:val="21"/>
          <w:highlight w:val="none"/>
        </w:rPr>
        <w:t>本项目不允许联合体投标。</w:t>
      </w:r>
    </w:p>
    <w:p>
      <w:pPr>
        <w:snapToGrid w:val="0"/>
        <w:spacing w:line="360" w:lineRule="auto"/>
        <w:ind w:right="-21" w:rightChars="-10"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（9）其他：</w:t>
      </w:r>
      <w:r>
        <w:rPr>
          <w:rFonts w:hint="eastAsia" w:ascii="宋体" w:hAnsi="宋体" w:cs="宋体"/>
          <w:color w:val="auto"/>
          <w:kern w:val="0"/>
          <w:szCs w:val="21"/>
          <w:highlight w:val="none"/>
          <w:u w:val="single"/>
        </w:rPr>
        <w:t>本项目资格后审。</w:t>
      </w:r>
    </w:p>
    <w:p>
      <w:pPr>
        <w:adjustRightInd w:val="0"/>
        <w:snapToGrid w:val="0"/>
        <w:spacing w:line="360" w:lineRule="auto"/>
        <w:rPr>
          <w:rFonts w:ascii="宋体" w:hAnsi="宋体" w:cs="宋体"/>
          <w:b/>
          <w:color w:val="auto"/>
          <w:szCs w:val="21"/>
          <w:highlight w:val="none"/>
        </w:rPr>
      </w:pPr>
      <w:bookmarkStart w:id="3" w:name="_Toc289873919"/>
      <w:r>
        <w:rPr>
          <w:rFonts w:hint="eastAsia" w:ascii="宋体" w:hAnsi="宋体" w:cs="宋体"/>
          <w:b/>
          <w:color w:val="auto"/>
          <w:szCs w:val="21"/>
          <w:highlight w:val="none"/>
        </w:rPr>
        <w:t>4．招标文件的获取</w:t>
      </w:r>
      <w:bookmarkEnd w:id="3"/>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（1）凡符合资格条件且有意参加投标者，请于</w:t>
      </w:r>
      <w:r>
        <w:rPr>
          <w:rFonts w:hint="eastAsia" w:ascii="宋体" w:hAnsi="宋体" w:cs="宋体"/>
          <w:color w:val="auto"/>
          <w:szCs w:val="21"/>
          <w:highlight w:val="none"/>
          <w:u w:val="single"/>
        </w:rPr>
        <w:t>2024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日至</w:t>
      </w:r>
      <w:r>
        <w:rPr>
          <w:rFonts w:hint="eastAsia" w:ascii="宋体" w:hAnsi="宋体" w:cs="宋体"/>
          <w:color w:val="auto"/>
          <w:szCs w:val="21"/>
          <w:highlight w:val="none"/>
          <w:u w:val="single"/>
        </w:rPr>
        <w:t>2024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日（法</w:t>
      </w:r>
      <w:r>
        <w:rPr>
          <w:rFonts w:hint="eastAsia" w:ascii="宋体" w:hAnsi="宋体" w:cs="宋体"/>
          <w:color w:val="auto"/>
          <w:szCs w:val="21"/>
          <w:highlight w:val="none"/>
        </w:rPr>
        <w:t>定公休日、法定节假日除外），每日上午</w:t>
      </w:r>
      <w:r>
        <w:rPr>
          <w:rFonts w:hint="eastAsia" w:ascii="宋体" w:hAnsi="宋体" w:cs="宋体"/>
          <w:color w:val="auto"/>
          <w:szCs w:val="21"/>
          <w:highlight w:val="none"/>
          <w:u w:val="single"/>
        </w:rPr>
        <w:t>09：00</w:t>
      </w:r>
      <w:r>
        <w:rPr>
          <w:rFonts w:hint="eastAsia" w:ascii="宋体" w:hAnsi="宋体" w:cs="宋体"/>
          <w:color w:val="auto"/>
          <w:szCs w:val="21"/>
          <w:highlight w:val="none"/>
        </w:rPr>
        <w:t>时至</w:t>
      </w:r>
      <w:r>
        <w:rPr>
          <w:rFonts w:hint="eastAsia" w:ascii="宋体" w:hAnsi="宋体" w:cs="宋体"/>
          <w:color w:val="auto"/>
          <w:szCs w:val="21"/>
          <w:highlight w:val="none"/>
          <w:u w:val="single"/>
        </w:rPr>
        <w:t>11：30</w:t>
      </w:r>
      <w:r>
        <w:rPr>
          <w:rFonts w:hint="eastAsia" w:ascii="宋体" w:hAnsi="宋体" w:cs="宋体"/>
          <w:color w:val="auto"/>
          <w:szCs w:val="21"/>
          <w:highlight w:val="none"/>
        </w:rPr>
        <w:t>时，下午</w:t>
      </w:r>
      <w:r>
        <w:rPr>
          <w:rFonts w:hint="eastAsia" w:ascii="宋体" w:hAnsi="宋体" w:cs="宋体"/>
          <w:color w:val="auto"/>
          <w:szCs w:val="21"/>
          <w:highlight w:val="none"/>
          <w:u w:val="single"/>
        </w:rPr>
        <w:t>14: 00</w:t>
      </w:r>
      <w:r>
        <w:rPr>
          <w:rFonts w:hint="eastAsia" w:ascii="宋体" w:hAnsi="宋体" w:cs="宋体"/>
          <w:color w:val="auto"/>
          <w:szCs w:val="21"/>
          <w:highlight w:val="none"/>
        </w:rPr>
        <w:t>时至</w:t>
      </w:r>
      <w:r>
        <w:rPr>
          <w:rFonts w:hint="eastAsia" w:ascii="宋体" w:hAnsi="宋体" w:cs="宋体"/>
          <w:color w:val="auto"/>
          <w:szCs w:val="21"/>
          <w:highlight w:val="none"/>
          <w:u w:val="single"/>
        </w:rPr>
        <w:t>16：30</w:t>
      </w:r>
      <w:r>
        <w:rPr>
          <w:rFonts w:hint="eastAsia" w:ascii="宋体" w:hAnsi="宋体" w:cs="宋体"/>
          <w:color w:val="auto"/>
          <w:szCs w:val="21"/>
          <w:highlight w:val="none"/>
        </w:rPr>
        <w:t>时（北京时间，下同）,购买招标文件。</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（2）购买招标文件地点：</w:t>
      </w:r>
      <w:r>
        <w:rPr>
          <w:rFonts w:hint="eastAsia" w:ascii="宋体" w:hAnsi="宋体" w:cs="宋体"/>
          <w:color w:val="auto"/>
          <w:szCs w:val="21"/>
          <w:highlight w:val="none"/>
          <w:u w:val="single"/>
        </w:rPr>
        <w:t>宁波正吉工程管理咨询有限公司（宁波市高新区翔云路100号科贸中心东塔25层招标代理部）</w:t>
      </w:r>
      <w:r>
        <w:rPr>
          <w:rFonts w:hint="eastAsia" w:ascii="宋体" w:hAnsi="宋体" w:cs="宋体"/>
          <w:color w:val="auto"/>
          <w:szCs w:val="21"/>
          <w:highlight w:val="none"/>
        </w:rPr>
        <w:t>；联系人：</w:t>
      </w:r>
      <w:r>
        <w:rPr>
          <w:rFonts w:hint="eastAsia" w:ascii="宋体" w:hAnsi="宋体" w:cs="宋体"/>
          <w:color w:val="auto"/>
          <w:szCs w:val="21"/>
          <w:highlight w:val="none"/>
          <w:u w:val="single"/>
        </w:rPr>
        <w:t>黎晖、李辉</w:t>
      </w:r>
      <w:r>
        <w:rPr>
          <w:rFonts w:hint="eastAsia" w:ascii="宋体" w:hAnsi="宋体" w:cs="宋体"/>
          <w:color w:val="auto"/>
          <w:szCs w:val="21"/>
          <w:highlight w:val="none"/>
        </w:rPr>
        <w:t>；联系电话：</w:t>
      </w:r>
      <w:r>
        <w:rPr>
          <w:rFonts w:hint="eastAsia" w:ascii="宋体" w:hAnsi="宋体" w:cs="宋体"/>
          <w:color w:val="auto"/>
          <w:szCs w:val="21"/>
          <w:highlight w:val="none"/>
          <w:u w:val="single"/>
        </w:rPr>
        <w:t>0574-87730234、0574-87914884</w:t>
      </w:r>
      <w:r>
        <w:rPr>
          <w:rFonts w:hint="eastAsia" w:ascii="宋体" w:hAnsi="宋体" w:cs="宋体"/>
          <w:color w:val="auto"/>
          <w:szCs w:val="21"/>
          <w:highlight w:val="none"/>
        </w:rPr>
        <w:t>；提示：投标人付款后请及时以邮件形式将汇款底单和营业执照发送至我公司邮箱：</w:t>
      </w:r>
      <w:r>
        <w:rPr>
          <w:rFonts w:hint="eastAsia" w:ascii="宋体" w:hAnsi="宋体" w:cs="宋体"/>
          <w:color w:val="auto"/>
          <w:szCs w:val="21"/>
          <w:highlight w:val="none"/>
          <w:u w:val="single"/>
        </w:rPr>
        <w:t>1661324371@qq.com</w:t>
      </w:r>
      <w:r>
        <w:rPr>
          <w:rFonts w:hint="eastAsia" w:ascii="宋体" w:hAnsi="宋体" w:cs="宋体"/>
          <w:color w:val="auto"/>
          <w:szCs w:val="21"/>
          <w:highlight w:val="none"/>
        </w:rPr>
        <w:t>，并在邮件中注明项目名称、项目编号、联系人姓名、手机号、邮箱及开票信息，如未按照此要求操作，投标人有可能不能及时收到招标文件，请给予配合。</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（3）招标文件每套售价</w:t>
      </w:r>
      <w:r>
        <w:rPr>
          <w:rFonts w:hint="eastAsia" w:ascii="宋体" w:hAnsi="宋体" w:cs="宋体"/>
          <w:color w:val="auto"/>
          <w:szCs w:val="21"/>
          <w:highlight w:val="none"/>
          <w:u w:val="single"/>
        </w:rPr>
        <w:t>500</w:t>
      </w:r>
      <w:r>
        <w:rPr>
          <w:rFonts w:hint="eastAsia" w:ascii="宋体" w:hAnsi="宋体" w:cs="宋体"/>
          <w:color w:val="auto"/>
          <w:szCs w:val="21"/>
          <w:highlight w:val="none"/>
        </w:rPr>
        <w:t>元人民币，售后不退。国内邮寄另加邮费</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元人民币。</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（4）补充（答疑、澄清）、修改文件，潜在投标人应自行关注网站公告，招标人不再一一通知。投标人因自身贻误行为导致投标失败的，责任自负。</w:t>
      </w:r>
    </w:p>
    <w:p>
      <w:pPr>
        <w:adjustRightInd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5．投标文件的递交</w:t>
      </w:r>
    </w:p>
    <w:p>
      <w:pPr>
        <w:adjustRightInd w:val="0"/>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（1）投标文件递交的截止时间与开标时间：</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rPr>
        <w:t>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日</w:t>
      </w:r>
      <w:r>
        <w:rPr>
          <w:rFonts w:hint="eastAsia" w:ascii="宋体" w:hAnsi="宋体" w:cs="宋体"/>
          <w:color w:val="auto"/>
          <w:szCs w:val="21"/>
          <w:highlight w:val="none"/>
          <w:u w:val="single"/>
        </w:rPr>
        <w:t>9</w:t>
      </w:r>
      <w:r>
        <w:rPr>
          <w:rFonts w:hint="eastAsia" w:ascii="宋体" w:hAnsi="宋体" w:cs="宋体"/>
          <w:color w:val="auto"/>
          <w:szCs w:val="21"/>
          <w:highlight w:val="none"/>
        </w:rPr>
        <w:t>时</w:t>
      </w:r>
      <w:r>
        <w:rPr>
          <w:rFonts w:hint="eastAsia" w:ascii="宋体" w:hAnsi="宋体" w:cs="宋体"/>
          <w:color w:val="auto"/>
          <w:szCs w:val="21"/>
          <w:highlight w:val="none"/>
        </w:rPr>
        <w:t>3</w:t>
      </w:r>
      <w:r>
        <w:rPr>
          <w:rFonts w:hint="eastAsia" w:ascii="宋体" w:hAnsi="宋体" w:cs="宋体"/>
          <w:color w:val="auto"/>
          <w:szCs w:val="21"/>
          <w:highlight w:val="none"/>
          <w:u w:val="single"/>
        </w:rPr>
        <w:t>0</w:t>
      </w:r>
      <w:r>
        <w:rPr>
          <w:rFonts w:hint="eastAsia" w:ascii="宋体" w:hAnsi="宋体" w:cs="宋体"/>
          <w:color w:val="auto"/>
          <w:szCs w:val="21"/>
          <w:highlight w:val="none"/>
        </w:rPr>
        <w:t>分。</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（2）开标地点：</w:t>
      </w:r>
      <w:r>
        <w:rPr>
          <w:rFonts w:hint="eastAsia" w:ascii="宋体" w:hAnsi="宋体" w:cs="宋体"/>
          <w:color w:val="auto"/>
          <w:szCs w:val="21"/>
          <w:highlight w:val="none"/>
          <w:u w:val="single"/>
        </w:rPr>
        <w:t>宁波市海曙区栎社机场内行政办公区3号楼201会议室（宁波市公安局机场分局北侧），</w:t>
      </w:r>
      <w:r>
        <w:rPr>
          <w:rFonts w:hint="eastAsia" w:ascii="宋体" w:hAnsi="宋体" w:cs="宋体"/>
          <w:color w:val="auto"/>
          <w:szCs w:val="21"/>
          <w:highlight w:val="none"/>
        </w:rPr>
        <w:t xml:space="preserve"> 投标人的法定代表人或其委托代理人无需出席开标会议，本项目将通过网络直播形式开标。</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本项目投标文件要求各投标人快递方式递交。投标人应确保密封包装在邮寄过程中密封包装完好，因邮寄过程的密封破损造成不符合开标要求的，或因邮寄延误等造成投标文件无法在投标截止时间前邮寄到达指定地点的，造成投标人无法参加本项目投标后果的，责任由投标人自行承担；</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（4）建议各投标人将投标文件于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rPr>
        <w:t>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cs="宋体"/>
          <w:color w:val="auto"/>
          <w:szCs w:val="21"/>
          <w:highlight w:val="none"/>
          <w:u w:val="single"/>
        </w:rPr>
        <w:t>16</w:t>
      </w:r>
      <w:r>
        <w:rPr>
          <w:rFonts w:hint="eastAsia" w:ascii="宋体" w:hAnsi="宋体" w:cs="宋体"/>
          <w:color w:val="auto"/>
          <w:szCs w:val="21"/>
          <w:highlight w:val="none"/>
        </w:rPr>
        <w:t>时</w:t>
      </w:r>
      <w:r>
        <w:rPr>
          <w:rFonts w:hint="eastAsia" w:ascii="宋体" w:hAnsi="宋体" w:cs="宋体"/>
          <w:color w:val="auto"/>
          <w:szCs w:val="21"/>
          <w:highlight w:val="none"/>
          <w:u w:val="single"/>
        </w:rPr>
        <w:t>00</w:t>
      </w:r>
      <w:r>
        <w:rPr>
          <w:rFonts w:hint="eastAsia" w:ascii="宋体" w:hAnsi="宋体" w:cs="宋体"/>
          <w:color w:val="auto"/>
          <w:szCs w:val="21"/>
          <w:highlight w:val="none"/>
        </w:rPr>
        <w:t>分前邮寄至：</w:t>
      </w:r>
      <w:r>
        <w:rPr>
          <w:rFonts w:hint="eastAsia" w:ascii="宋体" w:hAnsi="宋体" w:cs="宋体"/>
          <w:color w:val="auto"/>
          <w:szCs w:val="21"/>
          <w:highlight w:val="none"/>
          <w:u w:val="single"/>
        </w:rPr>
        <w:t>宁波正吉工程管理咨询有限公司（宁波市高新区翔云路100号科贸中心东塔25层招标代理部</w:t>
      </w:r>
      <w:r>
        <w:rPr>
          <w:rFonts w:hint="eastAsia" w:ascii="宋体" w:hAnsi="宋体" w:cs="宋体"/>
          <w:color w:val="auto"/>
          <w:szCs w:val="21"/>
          <w:highlight w:val="none"/>
        </w:rPr>
        <w:t>）；收件人：李辉；联系电话：15267843677</w:t>
      </w:r>
      <w:r>
        <w:rPr>
          <w:rFonts w:ascii="宋体" w:hAnsi="宋体" w:cs="宋体"/>
          <w:color w:val="auto"/>
          <w:szCs w:val="21"/>
          <w:highlight w:val="none"/>
        </w:rPr>
        <w:t>；如未能在此时间送达，请提前告知招标代理其他应急送达方式，否则造成投标人无法参加本项目投标后果的，责任由投标人自行承担。</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（5）逾期送达的或者未送达指定地点或者不密封的投标文件，招标人不予受理。</w:t>
      </w:r>
    </w:p>
    <w:p>
      <w:pPr>
        <w:adjustRightInd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6．发布公告的媒介</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本次招标公告在以下网站发布：</w:t>
      </w:r>
    </w:p>
    <w:p>
      <w:pPr>
        <w:adjustRightInd w:val="0"/>
        <w:snapToGrid w:val="0"/>
        <w:spacing w:line="360" w:lineRule="auto"/>
        <w:ind w:firstLine="420"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宁波市阳光采购服务平台（http://ygcg.nbcqjy.org/）；</w:t>
      </w:r>
    </w:p>
    <w:p>
      <w:pPr>
        <w:adjustRightInd w:val="0"/>
        <w:snapToGrid w:val="0"/>
        <w:spacing w:line="360" w:lineRule="auto"/>
        <w:ind w:firstLine="420"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宁波市人民政府国有资产监督管理委员会(http://gzw.ningbo.gov.cn/）；</w:t>
      </w:r>
    </w:p>
    <w:p>
      <w:pPr>
        <w:adjustRightInd w:val="0"/>
        <w:snapToGrid w:val="0"/>
        <w:spacing w:line="360" w:lineRule="auto"/>
        <w:ind w:firstLine="420"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宁波市公共资源交易电子服务系统（http://ggzy.zwb.ningbo.gov.cn）；</w:t>
      </w:r>
    </w:p>
    <w:p>
      <w:pPr>
        <w:adjustRightInd w:val="0"/>
        <w:snapToGrid w:val="0"/>
        <w:spacing w:line="360" w:lineRule="auto"/>
        <w:ind w:firstLine="420"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中国招标投标公共服务平台（http://www.cebpubservice.com/）；</w:t>
      </w:r>
    </w:p>
    <w:p>
      <w:pPr>
        <w:adjustRightInd w:val="0"/>
        <w:snapToGrid w:val="0"/>
        <w:spacing w:line="360" w:lineRule="auto"/>
        <w:ind w:firstLine="420"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宁波栎社国际机场官网（https://www.nbairport.com/）；</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b/>
          <w:color w:val="auto"/>
          <w:szCs w:val="21"/>
          <w:highlight w:val="none"/>
          <w:u w:val="single"/>
        </w:rPr>
        <w:t>宁波正吉工程管理咨询有限公司官网（http://www.nbzjzj.com/）。</w:t>
      </w:r>
    </w:p>
    <w:p>
      <w:pPr>
        <w:adjustRightInd w:val="0"/>
        <w:snapToGrid w:val="0"/>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7．其他事项</w:t>
      </w:r>
    </w:p>
    <w:p>
      <w:pPr>
        <w:adjustRightInd w:val="0"/>
        <w:snapToGri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潜在投标人若对招标文件中的投标人资格条件、星号条款等重要内容有异议的，可在招标文件规定时间前通过书面形式提出（逾期不受理），若招标人予以采纳，将对招标文件进行完善并以补充文件或更正公告形式发布。</w:t>
      </w:r>
    </w:p>
    <w:p>
      <w:pPr>
        <w:adjustRightInd w:val="0"/>
        <w:snapToGri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当投标文件由委托代理人签署时，该委托代理人必须是投标人单位正式员工(即委托代理人的当前参保单位信息显示为投标人)，证明方式为下列两个中的任意一个：①投标文件中提供委托代理人的社会保险参保证明(证明显示的打印时间要求在投标截止日前三十日内)；②投标人在评标委员会规定时间内提供委托代理人的社会保险参保证明(证明显示的打印时间要求在投标截止日前三十日内)。</w:t>
      </w:r>
    </w:p>
    <w:p>
      <w:pPr>
        <w:adjustRightInd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8.联系方式</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招标人：宁波机场集团有限公司 </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地址：宁波海曙区栎社机场内    </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联系人：朱老师    电话：0574-</w:t>
      </w:r>
      <w:r>
        <w:rPr>
          <w:rFonts w:ascii="宋体" w:hAnsi="宋体" w:cs="宋体"/>
          <w:color w:val="auto"/>
          <w:szCs w:val="21"/>
          <w:highlight w:val="none"/>
        </w:rPr>
        <w:t>89005031</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招标代理机构：宁波正吉工程管理咨询有限公司</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地址：宁波市高新区翔云路100号科贸中心东塔25层招标代理部</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联系人：黎晖、李辉、傅圆圆、张楠、杨立平、傅金亚</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电话：0574-87730234、0574-87914884   传真：0574－87736255</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电子邮件：</w:t>
      </w:r>
      <w:r>
        <w:rPr>
          <w:color w:val="auto"/>
          <w:highlight w:val="none"/>
        </w:rPr>
        <w:fldChar w:fldCharType="begin"/>
      </w:r>
      <w:r>
        <w:rPr>
          <w:color w:val="auto"/>
          <w:highlight w:val="none"/>
        </w:rPr>
        <w:instrText xml:space="preserve"> HYPERLINK "mailto:3533386879@qq.com" </w:instrText>
      </w:r>
      <w:r>
        <w:rPr>
          <w:color w:val="auto"/>
          <w:highlight w:val="none"/>
        </w:rPr>
        <w:fldChar w:fldCharType="separate"/>
      </w:r>
      <w:r>
        <w:rPr>
          <w:rFonts w:hint="eastAsia" w:ascii="宋体" w:hAnsi="宋体" w:cs="宋体"/>
          <w:color w:val="auto"/>
          <w:szCs w:val="21"/>
          <w:highlight w:val="none"/>
        </w:rPr>
        <w:t>3533386879@qq.com</w:t>
      </w:r>
      <w:r>
        <w:rPr>
          <w:rFonts w:hint="eastAsia" w:ascii="宋体" w:hAnsi="宋体" w:cs="宋体"/>
          <w:color w:val="auto"/>
          <w:szCs w:val="21"/>
          <w:highlight w:val="none"/>
        </w:rPr>
        <w:fldChar w:fldCharType="end"/>
      </w:r>
      <w:r>
        <w:rPr>
          <w:rFonts w:hint="eastAsia" w:ascii="宋体" w:hAnsi="宋体" w:cs="宋体"/>
          <w:color w:val="auto"/>
          <w:szCs w:val="21"/>
          <w:highlight w:val="none"/>
        </w:rPr>
        <w:t xml:space="preserve">      招标监督电话：0574-89005858</w:t>
      </w:r>
    </w:p>
    <w:p>
      <w:pPr>
        <w:adjustRightInd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9. 发布时间</w:t>
      </w:r>
    </w:p>
    <w:p>
      <w:pPr>
        <w:adjustRightInd w:val="0"/>
        <w:snapToGrid w:val="0"/>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u w:val="single"/>
        </w:rPr>
        <w:t xml:space="preserve"> 2024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rPr>
          <w:rFonts w:hAnsi="宋体"/>
          <w:b/>
          <w:color w:val="auto"/>
          <w:sz w:val="36"/>
          <w:szCs w:val="36"/>
          <w:highlight w:val="none"/>
        </w:rPr>
      </w:pPr>
    </w:p>
    <w:p>
      <w:pPr>
        <w:snapToGrid w:val="0"/>
        <w:spacing w:line="360" w:lineRule="auto"/>
        <w:ind w:firstLine="720"/>
        <w:jc w:val="center"/>
        <w:rPr>
          <w:b/>
          <w:color w:val="auto"/>
          <w:sz w:val="36"/>
          <w:szCs w:val="36"/>
          <w:highlight w:val="none"/>
        </w:rPr>
      </w:pPr>
      <w:r>
        <w:rPr>
          <w:rFonts w:hAnsi="宋体"/>
          <w:b/>
          <w:color w:val="auto"/>
          <w:sz w:val="36"/>
          <w:szCs w:val="36"/>
          <w:highlight w:val="none"/>
        </w:rPr>
        <w:t>第二章</w:t>
      </w:r>
      <w:r>
        <w:rPr>
          <w:b/>
          <w:color w:val="auto"/>
          <w:sz w:val="36"/>
          <w:szCs w:val="36"/>
          <w:highlight w:val="none"/>
        </w:rPr>
        <w:t xml:space="preserve">  </w:t>
      </w:r>
      <w:r>
        <w:rPr>
          <w:rFonts w:hAnsi="宋体"/>
          <w:b/>
          <w:color w:val="auto"/>
          <w:sz w:val="36"/>
          <w:szCs w:val="36"/>
          <w:highlight w:val="none"/>
        </w:rPr>
        <w:t>投标人须知</w:t>
      </w:r>
    </w:p>
    <w:p>
      <w:pPr>
        <w:jc w:val="center"/>
        <w:rPr>
          <w:b/>
          <w:color w:val="auto"/>
          <w:sz w:val="28"/>
          <w:szCs w:val="28"/>
          <w:highlight w:val="none"/>
        </w:rPr>
      </w:pPr>
      <w:r>
        <w:rPr>
          <w:rFonts w:hAnsi="宋体"/>
          <w:b/>
          <w:color w:val="auto"/>
          <w:sz w:val="28"/>
          <w:szCs w:val="28"/>
          <w:highlight w:val="none"/>
        </w:rPr>
        <w:t>投标人须知前附表</w:t>
      </w:r>
    </w:p>
    <w:tbl>
      <w:tblPr>
        <w:tblStyle w:val="16"/>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00"/>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8" w:type="dxa"/>
            <w:vAlign w:val="center"/>
          </w:tcPr>
          <w:p>
            <w:pPr>
              <w:pStyle w:val="9"/>
              <w:spacing w:line="360" w:lineRule="auto"/>
              <w:ind w:firstLine="0"/>
              <w:jc w:val="center"/>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序号</w:t>
            </w:r>
          </w:p>
        </w:tc>
        <w:tc>
          <w:tcPr>
            <w:tcW w:w="1800" w:type="dxa"/>
            <w:vAlign w:val="center"/>
          </w:tcPr>
          <w:p>
            <w:pPr>
              <w:pStyle w:val="9"/>
              <w:spacing w:line="360" w:lineRule="auto"/>
              <w:ind w:firstLine="0"/>
              <w:jc w:val="center"/>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项</w:t>
            </w:r>
            <w:r>
              <w:rPr>
                <w:rFonts w:ascii="Times New Roman" w:hAnsi="Times New Roman" w:eastAsia="宋体"/>
                <w:color w:val="auto"/>
                <w:kern w:val="2"/>
                <w:sz w:val="21"/>
                <w:szCs w:val="21"/>
                <w:highlight w:val="none"/>
              </w:rPr>
              <w:t xml:space="preserve">  </w:t>
            </w:r>
            <w:r>
              <w:rPr>
                <w:rFonts w:ascii="Times New Roman" w:hAnsi="宋体" w:eastAsia="宋体"/>
                <w:color w:val="auto"/>
                <w:kern w:val="2"/>
                <w:sz w:val="21"/>
                <w:szCs w:val="21"/>
                <w:highlight w:val="none"/>
              </w:rPr>
              <w:t>目</w:t>
            </w:r>
          </w:p>
        </w:tc>
        <w:tc>
          <w:tcPr>
            <w:tcW w:w="6808" w:type="dxa"/>
            <w:vAlign w:val="center"/>
          </w:tcPr>
          <w:p>
            <w:pPr>
              <w:pStyle w:val="9"/>
              <w:spacing w:line="360" w:lineRule="auto"/>
              <w:ind w:firstLine="0"/>
              <w:jc w:val="center"/>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内</w:t>
            </w:r>
            <w:r>
              <w:rPr>
                <w:rFonts w:ascii="Times New Roman" w:hAnsi="Times New Roman" w:eastAsia="宋体"/>
                <w:color w:val="auto"/>
                <w:kern w:val="2"/>
                <w:sz w:val="21"/>
                <w:szCs w:val="21"/>
                <w:highlight w:val="none"/>
              </w:rPr>
              <w:t xml:space="preserve">  </w:t>
            </w:r>
            <w:r>
              <w:rPr>
                <w:rFonts w:ascii="Times New Roman" w:hAnsi="宋体" w:eastAsia="宋体"/>
                <w:color w:val="auto"/>
                <w:kern w:val="2"/>
                <w:sz w:val="21"/>
                <w:szCs w:val="21"/>
                <w:highlight w:val="none"/>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w:t>
            </w:r>
          </w:p>
        </w:tc>
        <w:tc>
          <w:tcPr>
            <w:tcW w:w="1800"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项目简况</w:t>
            </w:r>
          </w:p>
        </w:tc>
        <w:tc>
          <w:tcPr>
            <w:tcW w:w="6808" w:type="dxa"/>
            <w:vAlign w:val="center"/>
          </w:tcPr>
          <w:p>
            <w:pPr>
              <w:adjustRightInd w:val="0"/>
              <w:spacing w:line="360" w:lineRule="auto"/>
              <w:jc w:val="left"/>
              <w:rPr>
                <w:color w:val="auto"/>
                <w:szCs w:val="21"/>
                <w:highlight w:val="none"/>
              </w:rPr>
            </w:pPr>
            <w:r>
              <w:rPr>
                <w:rFonts w:hAnsi="宋体"/>
                <w:color w:val="auto"/>
                <w:szCs w:val="21"/>
                <w:highlight w:val="none"/>
              </w:rPr>
              <w:t>项目名称：</w:t>
            </w:r>
            <w:r>
              <w:rPr>
                <w:rFonts w:hint="eastAsia" w:ascii="宋体" w:hAnsi="宋体" w:cs="宋体"/>
                <w:color w:val="auto"/>
                <w:szCs w:val="21"/>
                <w:highlight w:val="none"/>
                <w:u w:val="single"/>
              </w:rPr>
              <w:t>宁波机场集团有限公司印刷品采购项目</w:t>
            </w:r>
          </w:p>
          <w:p>
            <w:pPr>
              <w:pStyle w:val="9"/>
              <w:spacing w:line="360" w:lineRule="auto"/>
              <w:ind w:firstLine="0"/>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招</w:t>
            </w:r>
            <w:r>
              <w:rPr>
                <w:rFonts w:ascii="Times New Roman" w:hAnsi="Times New Roman" w:eastAsia="宋体"/>
                <w:color w:val="auto"/>
                <w:kern w:val="2"/>
                <w:sz w:val="21"/>
                <w:szCs w:val="21"/>
                <w:highlight w:val="none"/>
              </w:rPr>
              <w:t xml:space="preserve"> </w:t>
            </w:r>
            <w:r>
              <w:rPr>
                <w:rFonts w:ascii="Times New Roman" w:hAnsi="宋体" w:eastAsia="宋体"/>
                <w:color w:val="auto"/>
                <w:kern w:val="2"/>
                <w:sz w:val="21"/>
                <w:szCs w:val="21"/>
                <w:highlight w:val="none"/>
              </w:rPr>
              <w:t>标</w:t>
            </w:r>
            <w:r>
              <w:rPr>
                <w:rFonts w:ascii="Times New Roman" w:hAnsi="Times New Roman" w:eastAsia="宋体"/>
                <w:color w:val="auto"/>
                <w:kern w:val="2"/>
                <w:sz w:val="21"/>
                <w:szCs w:val="21"/>
                <w:highlight w:val="none"/>
              </w:rPr>
              <w:t xml:space="preserve"> </w:t>
            </w:r>
            <w:r>
              <w:rPr>
                <w:rFonts w:ascii="Times New Roman" w:hAnsi="宋体" w:eastAsia="宋体"/>
                <w:color w:val="auto"/>
                <w:kern w:val="2"/>
                <w:sz w:val="21"/>
                <w:szCs w:val="21"/>
                <w:highlight w:val="none"/>
              </w:rPr>
              <w:t>人：宁波机场集团有限公司</w:t>
            </w:r>
            <w:r>
              <w:rPr>
                <w:rFonts w:ascii="Times New Roman" w:hAnsi="Times New Roman" w:eastAsia="宋体"/>
                <w:color w:val="auto"/>
                <w:kern w:val="2"/>
                <w:sz w:val="21"/>
                <w:szCs w:val="21"/>
                <w:highlight w:val="none"/>
              </w:rPr>
              <w:t xml:space="preserve"> </w:t>
            </w:r>
          </w:p>
          <w:p>
            <w:pPr>
              <w:pStyle w:val="9"/>
              <w:spacing w:line="360" w:lineRule="auto"/>
              <w:ind w:firstLine="0"/>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地　　址：</w:t>
            </w:r>
            <w:r>
              <w:rPr>
                <w:rFonts w:hint="eastAsia" w:ascii="Times New Roman" w:hAnsi="宋体" w:eastAsia="宋体"/>
                <w:color w:val="auto"/>
                <w:kern w:val="2"/>
                <w:sz w:val="21"/>
                <w:szCs w:val="21"/>
                <w:highlight w:val="none"/>
              </w:rPr>
              <w:t>宁波栎社国际机场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48" w:type="dxa"/>
            <w:vAlign w:val="center"/>
          </w:tcPr>
          <w:p>
            <w:pPr>
              <w:spacing w:line="360" w:lineRule="auto"/>
              <w:jc w:val="left"/>
              <w:rPr>
                <w:color w:val="auto"/>
                <w:szCs w:val="21"/>
                <w:highlight w:val="none"/>
              </w:rPr>
            </w:pPr>
            <w:r>
              <w:rPr>
                <w:color w:val="auto"/>
                <w:szCs w:val="21"/>
                <w:highlight w:val="none"/>
              </w:rPr>
              <w:t>2</w:t>
            </w:r>
          </w:p>
        </w:tc>
        <w:tc>
          <w:tcPr>
            <w:tcW w:w="1800"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宋体" w:eastAsia="宋体"/>
                <w:color w:val="auto"/>
                <w:kern w:val="2"/>
                <w:sz w:val="21"/>
                <w:szCs w:val="21"/>
                <w:highlight w:val="none"/>
              </w:rPr>
              <w:t>招标内容</w:t>
            </w:r>
            <w:r>
              <w:rPr>
                <w:rFonts w:hint="eastAsia" w:ascii="Times New Roman" w:hAnsi="宋体" w:eastAsia="宋体"/>
                <w:color w:val="auto"/>
                <w:kern w:val="2"/>
                <w:sz w:val="21"/>
                <w:szCs w:val="21"/>
                <w:highlight w:val="none"/>
              </w:rPr>
              <w:t>和范围</w:t>
            </w:r>
          </w:p>
        </w:tc>
        <w:tc>
          <w:tcPr>
            <w:tcW w:w="6808" w:type="dxa"/>
            <w:vAlign w:val="center"/>
          </w:tcPr>
          <w:p>
            <w:pPr>
              <w:adjustRightInd w:val="0"/>
              <w:spacing w:line="400" w:lineRule="exact"/>
              <w:jc w:val="left"/>
              <w:rPr>
                <w:color w:val="auto"/>
                <w:szCs w:val="21"/>
                <w:highlight w:val="none"/>
              </w:rPr>
            </w:pPr>
            <w:r>
              <w:rPr>
                <w:rFonts w:hint="eastAsia" w:hAnsi="宋体"/>
                <w:color w:val="auto"/>
                <w:szCs w:val="21"/>
                <w:highlight w:val="none"/>
              </w:rPr>
              <w:t>见“招标公告”相应内容</w:t>
            </w:r>
            <w:r>
              <w:rPr>
                <w:rFonts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48" w:type="dxa"/>
            <w:vAlign w:val="center"/>
          </w:tcPr>
          <w:p>
            <w:pPr>
              <w:pStyle w:val="9"/>
              <w:spacing w:line="360" w:lineRule="auto"/>
              <w:ind w:firstLine="0"/>
              <w:rPr>
                <w:rFonts w:ascii="Times New Roman" w:hAnsi="Times New Roman" w:eastAsia="宋体"/>
                <w:b/>
                <w:color w:val="auto"/>
                <w:kern w:val="2"/>
                <w:sz w:val="21"/>
                <w:szCs w:val="21"/>
                <w:highlight w:val="none"/>
              </w:rPr>
            </w:pPr>
            <w:r>
              <w:rPr>
                <w:rFonts w:ascii="宋体" w:hAnsi="宋体" w:eastAsia="宋体"/>
                <w:b/>
                <w:color w:val="auto"/>
                <w:kern w:val="2"/>
                <w:sz w:val="21"/>
                <w:szCs w:val="21"/>
                <w:highlight w:val="none"/>
              </w:rPr>
              <w:t>★</w:t>
            </w:r>
            <w:r>
              <w:rPr>
                <w:rFonts w:ascii="Times New Roman" w:hAnsi="Times New Roman" w:eastAsia="宋体"/>
                <w:b/>
                <w:color w:val="auto"/>
                <w:kern w:val="2"/>
                <w:sz w:val="21"/>
                <w:szCs w:val="21"/>
                <w:highlight w:val="none"/>
              </w:rPr>
              <w:t>3</w:t>
            </w:r>
          </w:p>
        </w:tc>
        <w:tc>
          <w:tcPr>
            <w:tcW w:w="1800" w:type="dxa"/>
            <w:vAlign w:val="center"/>
          </w:tcPr>
          <w:p>
            <w:pPr>
              <w:spacing w:line="360" w:lineRule="auto"/>
              <w:jc w:val="left"/>
              <w:rPr>
                <w:b/>
                <w:color w:val="auto"/>
                <w:szCs w:val="21"/>
                <w:highlight w:val="none"/>
              </w:rPr>
            </w:pPr>
            <w:r>
              <w:rPr>
                <w:rFonts w:hAnsi="宋体"/>
                <w:b/>
                <w:color w:val="auto"/>
                <w:szCs w:val="21"/>
                <w:highlight w:val="none"/>
              </w:rPr>
              <w:t>投标人资格要求</w:t>
            </w:r>
          </w:p>
        </w:tc>
        <w:tc>
          <w:tcPr>
            <w:tcW w:w="6808" w:type="dxa"/>
            <w:vAlign w:val="center"/>
          </w:tcPr>
          <w:p>
            <w:pPr>
              <w:spacing w:line="400" w:lineRule="exact"/>
              <w:jc w:val="left"/>
              <w:rPr>
                <w:b/>
                <w:color w:val="auto"/>
                <w:szCs w:val="21"/>
                <w:highlight w:val="none"/>
                <w:u w:val="single"/>
              </w:rPr>
            </w:pPr>
            <w:r>
              <w:rPr>
                <w:rFonts w:hint="eastAsia" w:hAnsi="宋体"/>
                <w:color w:val="auto"/>
                <w:szCs w:val="21"/>
                <w:highlight w:val="none"/>
              </w:rPr>
              <w:t>见“招标公告”相应内容</w:t>
            </w:r>
            <w:r>
              <w:rPr>
                <w:rFonts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w:t>
            </w:r>
          </w:p>
        </w:tc>
        <w:tc>
          <w:tcPr>
            <w:tcW w:w="1800" w:type="dxa"/>
            <w:vAlign w:val="center"/>
          </w:tcPr>
          <w:p>
            <w:pPr>
              <w:spacing w:line="360" w:lineRule="auto"/>
              <w:jc w:val="left"/>
              <w:rPr>
                <w:color w:val="auto"/>
                <w:szCs w:val="21"/>
                <w:highlight w:val="none"/>
              </w:rPr>
            </w:pPr>
            <w:r>
              <w:rPr>
                <w:rFonts w:hint="eastAsia" w:hAnsi="宋体"/>
                <w:color w:val="auto"/>
                <w:szCs w:val="21"/>
                <w:highlight w:val="none"/>
              </w:rPr>
              <w:t>服务期限</w:t>
            </w:r>
          </w:p>
        </w:tc>
        <w:tc>
          <w:tcPr>
            <w:tcW w:w="6808" w:type="dxa"/>
            <w:vAlign w:val="center"/>
          </w:tcPr>
          <w:p>
            <w:pPr>
              <w:spacing w:line="400" w:lineRule="exact"/>
              <w:jc w:val="left"/>
              <w:rPr>
                <w:color w:val="auto"/>
                <w:szCs w:val="21"/>
                <w:highlight w:val="none"/>
                <w:u w:val="single"/>
              </w:rPr>
            </w:pPr>
            <w:r>
              <w:rPr>
                <w:rFonts w:hint="eastAsia" w:hAnsi="宋体"/>
                <w:color w:val="auto"/>
                <w:szCs w:val="21"/>
                <w:highlight w:val="none"/>
              </w:rPr>
              <w:t>见“招标公告”相应内容</w:t>
            </w:r>
            <w:r>
              <w:rPr>
                <w:rFonts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7" w:hRule="atLeast"/>
        </w:trPr>
        <w:tc>
          <w:tcPr>
            <w:tcW w:w="648" w:type="dxa"/>
            <w:vAlign w:val="center"/>
          </w:tcPr>
          <w:p>
            <w:pPr>
              <w:pStyle w:val="9"/>
              <w:spacing w:line="360" w:lineRule="auto"/>
              <w:ind w:firstLine="0"/>
              <w:rPr>
                <w:rFonts w:ascii="Times New Roman" w:hAnsi="Times New Roman" w:eastAsia="宋体"/>
                <w:b/>
                <w:color w:val="auto"/>
                <w:kern w:val="2"/>
                <w:sz w:val="21"/>
                <w:szCs w:val="21"/>
                <w:highlight w:val="none"/>
              </w:rPr>
            </w:pPr>
            <w:r>
              <w:rPr>
                <w:rFonts w:ascii="宋体" w:hAnsi="宋体" w:eastAsia="宋体"/>
                <w:b/>
                <w:color w:val="auto"/>
                <w:kern w:val="2"/>
                <w:sz w:val="21"/>
                <w:szCs w:val="21"/>
                <w:highlight w:val="none"/>
              </w:rPr>
              <w:t>★</w:t>
            </w:r>
            <w:r>
              <w:rPr>
                <w:rFonts w:ascii="Times New Roman" w:hAnsi="Times New Roman" w:eastAsia="宋体"/>
                <w:b/>
                <w:color w:val="auto"/>
                <w:kern w:val="2"/>
                <w:sz w:val="21"/>
                <w:szCs w:val="21"/>
                <w:highlight w:val="none"/>
              </w:rPr>
              <w:t>5</w:t>
            </w:r>
          </w:p>
        </w:tc>
        <w:tc>
          <w:tcPr>
            <w:tcW w:w="1800" w:type="dxa"/>
            <w:vAlign w:val="center"/>
          </w:tcPr>
          <w:p>
            <w:pPr>
              <w:spacing w:line="360" w:lineRule="auto"/>
              <w:ind w:right="-21" w:rightChars="-10"/>
              <w:jc w:val="left"/>
              <w:rPr>
                <w:rStyle w:val="21"/>
                <w:b/>
                <w:color w:val="auto"/>
                <w:highlight w:val="none"/>
              </w:rPr>
            </w:pPr>
            <w:r>
              <w:rPr>
                <w:rStyle w:val="21"/>
                <w:rFonts w:hAnsi="宋体"/>
                <w:b/>
                <w:color w:val="auto"/>
                <w:highlight w:val="none"/>
              </w:rPr>
              <w:t>投标保证金</w:t>
            </w:r>
          </w:p>
        </w:tc>
        <w:tc>
          <w:tcPr>
            <w:tcW w:w="6808" w:type="dxa"/>
            <w:vAlign w:val="center"/>
          </w:tcPr>
          <w:p>
            <w:pPr>
              <w:topLinePunct/>
              <w:adjustRightInd w:val="0"/>
              <w:snapToGrid w:val="0"/>
              <w:spacing w:line="400" w:lineRule="exact"/>
              <w:ind w:right="105" w:rightChars="50" w:hanging="3"/>
              <w:rPr>
                <w:rStyle w:val="21"/>
                <w:b/>
                <w:color w:val="auto"/>
                <w:sz w:val="16"/>
                <w:szCs w:val="16"/>
                <w:highlight w:val="none"/>
              </w:rPr>
            </w:pPr>
            <w:r>
              <w:rPr>
                <w:rFonts w:ascii="宋体" w:hAnsi="宋体"/>
                <w:b/>
                <w:color w:val="auto"/>
                <w:sz w:val="24"/>
                <w:szCs w:val="16"/>
                <w:highlight w:val="none"/>
              </w:rPr>
              <w:sym w:font="Wingdings 2" w:char="F0A3"/>
            </w:r>
            <w:r>
              <w:rPr>
                <w:rFonts w:hint="eastAsia" w:ascii="宋体" w:hAnsi="宋体"/>
                <w:b/>
                <w:color w:val="auto"/>
                <w:sz w:val="24"/>
                <w:szCs w:val="16"/>
                <w:highlight w:val="none"/>
              </w:rPr>
              <w:t>不</w:t>
            </w:r>
            <w:r>
              <w:rPr>
                <w:rStyle w:val="21"/>
                <w:b/>
                <w:color w:val="auto"/>
                <w:highlight w:val="none"/>
              </w:rPr>
              <w:t>要求递交投标保证金</w:t>
            </w:r>
          </w:p>
          <w:p>
            <w:pPr>
              <w:topLinePunct/>
              <w:adjustRightInd w:val="0"/>
              <w:snapToGrid w:val="0"/>
              <w:spacing w:line="400" w:lineRule="exact"/>
              <w:ind w:right="105" w:rightChars="50" w:hanging="3"/>
              <w:rPr>
                <w:rStyle w:val="21"/>
                <w:b/>
                <w:color w:val="auto"/>
                <w:sz w:val="16"/>
                <w:szCs w:val="16"/>
                <w:highlight w:val="none"/>
              </w:rPr>
            </w:pPr>
            <w:r>
              <w:rPr>
                <w:rFonts w:ascii="宋体" w:hAnsi="宋体"/>
                <w:b/>
                <w:color w:val="auto"/>
                <w:sz w:val="24"/>
                <w:szCs w:val="16"/>
                <w:highlight w:val="none"/>
              </w:rPr>
              <w:sym w:font="Wingdings 2" w:char="F052"/>
            </w:r>
            <w:r>
              <w:rPr>
                <w:rStyle w:val="21"/>
                <w:b/>
                <w:color w:val="auto"/>
                <w:highlight w:val="none"/>
              </w:rPr>
              <w:t>要求递交投标保证金</w:t>
            </w:r>
          </w:p>
          <w:p>
            <w:pPr>
              <w:adjustRightInd w:val="0"/>
              <w:snapToGrid w:val="0"/>
              <w:spacing w:line="400" w:lineRule="exact"/>
              <w:ind w:right="-21" w:rightChars="-10"/>
              <w:jc w:val="left"/>
              <w:rPr>
                <w:rFonts w:hAnsi="宋体"/>
                <w:b/>
                <w:color w:val="auto"/>
                <w:kern w:val="0"/>
                <w:szCs w:val="21"/>
                <w:highlight w:val="none"/>
              </w:rPr>
            </w:pPr>
            <w:r>
              <w:rPr>
                <w:rStyle w:val="21"/>
                <w:rFonts w:hAnsi="宋体"/>
                <w:b/>
                <w:color w:val="auto"/>
                <w:highlight w:val="none"/>
              </w:rPr>
              <w:t>金</w:t>
            </w:r>
            <w:r>
              <w:rPr>
                <w:rStyle w:val="21"/>
                <w:b/>
                <w:color w:val="auto"/>
                <w:highlight w:val="none"/>
              </w:rPr>
              <w:t xml:space="preserve">    </w:t>
            </w:r>
            <w:r>
              <w:rPr>
                <w:rStyle w:val="21"/>
                <w:rFonts w:hAnsi="宋体"/>
                <w:b/>
                <w:color w:val="auto"/>
                <w:highlight w:val="none"/>
              </w:rPr>
              <w:t>额：人民币</w:t>
            </w:r>
            <w:r>
              <w:rPr>
                <w:rStyle w:val="21"/>
                <w:rFonts w:hint="eastAsia" w:hAnsi="宋体"/>
                <w:b/>
                <w:color w:val="auto"/>
                <w:highlight w:val="none"/>
              </w:rPr>
              <w:t xml:space="preserve">  </w:t>
            </w:r>
            <w:r>
              <w:rPr>
                <w:rStyle w:val="21"/>
                <w:rFonts w:hint="eastAsia" w:hAnsi="宋体"/>
                <w:b/>
                <w:color w:val="auto"/>
                <w:highlight w:val="none"/>
                <w:u w:val="single"/>
              </w:rPr>
              <w:t>伍仟</w:t>
            </w:r>
            <w:r>
              <w:rPr>
                <w:rStyle w:val="21"/>
                <w:rFonts w:hAnsi="宋体"/>
                <w:b/>
                <w:color w:val="auto"/>
                <w:highlight w:val="none"/>
              </w:rPr>
              <w:t>元整（</w:t>
            </w:r>
            <w:r>
              <w:rPr>
                <w:rStyle w:val="21"/>
                <w:b/>
                <w:color w:val="auto"/>
                <w:highlight w:val="none"/>
              </w:rPr>
              <w:t>RMB</w:t>
            </w:r>
            <w:r>
              <w:rPr>
                <w:rStyle w:val="21"/>
                <w:rFonts w:hint="eastAsia"/>
                <w:b/>
                <w:color w:val="auto"/>
                <w:highlight w:val="none"/>
              </w:rPr>
              <w:t xml:space="preserve">  </w:t>
            </w:r>
            <w:r>
              <w:rPr>
                <w:rStyle w:val="21"/>
                <w:rFonts w:hint="eastAsia"/>
                <w:b/>
                <w:color w:val="auto"/>
                <w:highlight w:val="none"/>
                <w:u w:val="single"/>
              </w:rPr>
              <w:t>5000</w:t>
            </w:r>
            <w:r>
              <w:rPr>
                <w:rStyle w:val="21"/>
                <w:rFonts w:hAnsi="宋体"/>
                <w:b/>
                <w:color w:val="auto"/>
                <w:highlight w:val="none"/>
              </w:rPr>
              <w:t>），</w:t>
            </w:r>
            <w:r>
              <w:rPr>
                <w:rFonts w:hint="eastAsia" w:hAnsi="宋体"/>
                <w:b/>
                <w:color w:val="auto"/>
                <w:kern w:val="0"/>
                <w:szCs w:val="21"/>
                <w:highlight w:val="none"/>
              </w:rPr>
              <w:t>以银行转账或金融机构保函形式缴纳，如投标保证金为金融机构保函形式的，与投标文件同时递交。如保证金以银行转账形式缴纳，应在投标截止时间前汇入指定账户。</w:t>
            </w:r>
            <w:r>
              <w:rPr>
                <w:rFonts w:hAnsi="宋体"/>
                <w:b/>
                <w:color w:val="auto"/>
                <w:kern w:val="0"/>
                <w:szCs w:val="21"/>
                <w:highlight w:val="none"/>
              </w:rPr>
              <w:t>不得现金缴纳、不得通过投标人的其他账户或分支机构或第三者账户转入。</w:t>
            </w:r>
          </w:p>
          <w:p>
            <w:pPr>
              <w:topLinePunct/>
              <w:adjustRightInd w:val="0"/>
              <w:snapToGrid w:val="0"/>
              <w:spacing w:line="400" w:lineRule="exact"/>
              <w:ind w:right="105" w:rightChars="50" w:hanging="3"/>
              <w:rPr>
                <w:rStyle w:val="21"/>
                <w:b/>
                <w:color w:val="auto"/>
                <w:sz w:val="16"/>
                <w:szCs w:val="16"/>
                <w:highlight w:val="none"/>
              </w:rPr>
            </w:pPr>
            <w:r>
              <w:rPr>
                <w:rFonts w:ascii="Segoe UI Symbol" w:hAnsi="Segoe UI Symbol" w:cs="Segoe UI Symbol"/>
                <w:b/>
                <w:color w:val="auto"/>
                <w:sz w:val="24"/>
                <w:szCs w:val="16"/>
                <w:highlight w:val="none"/>
              </w:rPr>
              <w:t>☑</w:t>
            </w:r>
            <w:r>
              <w:rPr>
                <w:rStyle w:val="21"/>
                <w:rFonts w:hint="eastAsia"/>
                <w:b/>
                <w:color w:val="auto"/>
                <w:highlight w:val="none"/>
              </w:rPr>
              <w:t>招标代理公司账号</w:t>
            </w:r>
          </w:p>
          <w:p>
            <w:pPr>
              <w:adjustRightInd w:val="0"/>
              <w:snapToGrid w:val="0"/>
              <w:spacing w:line="400" w:lineRule="exact"/>
              <w:ind w:right="-21" w:rightChars="-10"/>
              <w:jc w:val="left"/>
              <w:rPr>
                <w:rStyle w:val="21"/>
                <w:b/>
                <w:color w:val="auto"/>
                <w:highlight w:val="none"/>
              </w:rPr>
            </w:pPr>
            <w:r>
              <w:rPr>
                <w:rFonts w:ascii="宋体" w:hAnsi="宋体"/>
                <w:b/>
                <w:color w:val="auto"/>
                <w:sz w:val="24"/>
                <w:highlight w:val="none"/>
              </w:rPr>
              <w:t>□</w:t>
            </w:r>
            <w:r>
              <w:rPr>
                <w:rFonts w:hint="eastAsia" w:ascii="宋体" w:hAnsi="宋体"/>
                <w:b/>
                <w:color w:val="auto"/>
                <w:szCs w:val="21"/>
                <w:highlight w:val="none"/>
              </w:rPr>
              <w:t>招标人账号</w:t>
            </w:r>
          </w:p>
          <w:p>
            <w:pPr>
              <w:spacing w:line="360" w:lineRule="auto"/>
              <w:jc w:val="left"/>
              <w:rPr>
                <w:rStyle w:val="21"/>
                <w:rFonts w:ascii="宋体" w:hAnsi="宋体" w:cs="宋体"/>
                <w:b/>
                <w:color w:val="auto"/>
                <w:highlight w:val="none"/>
              </w:rPr>
            </w:pPr>
            <w:r>
              <w:rPr>
                <w:rStyle w:val="21"/>
                <w:rFonts w:hint="eastAsia" w:ascii="宋体" w:hAnsi="宋体" w:cs="宋体"/>
                <w:b/>
                <w:color w:val="auto"/>
                <w:highlight w:val="none"/>
              </w:rPr>
              <w:t>帐 户 名：</w:t>
            </w:r>
            <w:r>
              <w:rPr>
                <w:rStyle w:val="21"/>
                <w:rFonts w:hint="eastAsia" w:ascii="宋体" w:hAnsi="宋体" w:cs="宋体"/>
                <w:b/>
                <w:color w:val="auto"/>
                <w:highlight w:val="none"/>
                <w:u w:val="single"/>
              </w:rPr>
              <w:t>宁波正吉工程管理咨询有限公司</w:t>
            </w:r>
            <w:r>
              <w:rPr>
                <w:rStyle w:val="21"/>
                <w:rFonts w:hint="eastAsia" w:ascii="宋体" w:hAnsi="宋体" w:cs="宋体"/>
                <w:b/>
                <w:color w:val="auto"/>
                <w:highlight w:val="none"/>
              </w:rPr>
              <w:t xml:space="preserve"> </w:t>
            </w:r>
          </w:p>
          <w:p>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开户银行：</w:t>
            </w:r>
            <w:r>
              <w:rPr>
                <w:rStyle w:val="21"/>
                <w:rFonts w:hint="eastAsia" w:ascii="宋体" w:hAnsi="宋体" w:cs="宋体"/>
                <w:b/>
                <w:color w:val="auto"/>
                <w:highlight w:val="none"/>
                <w:u w:val="single"/>
              </w:rPr>
              <w:t>宁波银行鄞州中心区支行</w:t>
            </w:r>
            <w:r>
              <w:rPr>
                <w:rFonts w:hint="eastAsia" w:ascii="宋体" w:hAnsi="宋体" w:cs="宋体"/>
                <w:b/>
                <w:color w:val="auto"/>
                <w:szCs w:val="21"/>
                <w:highlight w:val="none"/>
              </w:rPr>
              <w:t xml:space="preserve"> </w:t>
            </w:r>
          </w:p>
          <w:p>
            <w:pPr>
              <w:spacing w:line="360" w:lineRule="auto"/>
              <w:jc w:val="left"/>
              <w:rPr>
                <w:rStyle w:val="21"/>
                <w:rFonts w:ascii="宋体" w:hAnsi="宋体" w:cs="宋体"/>
                <w:b/>
                <w:color w:val="auto"/>
                <w:highlight w:val="none"/>
                <w:u w:val="single"/>
              </w:rPr>
            </w:pPr>
            <w:r>
              <w:rPr>
                <w:rFonts w:hint="eastAsia" w:ascii="宋体" w:hAnsi="宋体" w:cs="宋体"/>
                <w:b/>
                <w:color w:val="auto"/>
                <w:szCs w:val="21"/>
                <w:highlight w:val="none"/>
              </w:rPr>
              <w:t>帐    号：</w:t>
            </w:r>
            <w:r>
              <w:rPr>
                <w:rStyle w:val="21"/>
                <w:rFonts w:hint="eastAsia" w:ascii="宋体" w:hAnsi="宋体" w:cs="宋体"/>
                <w:b/>
                <w:color w:val="auto"/>
                <w:highlight w:val="none"/>
                <w:u w:val="single"/>
              </w:rPr>
              <w:t>30010122000156342</w:t>
            </w:r>
          </w:p>
          <w:p>
            <w:pPr>
              <w:spacing w:line="360" w:lineRule="auto"/>
              <w:jc w:val="left"/>
              <w:rPr>
                <w:rStyle w:val="21"/>
                <w:color w:val="auto"/>
                <w:highlight w:val="none"/>
                <w:u w:val="single"/>
              </w:rPr>
            </w:pPr>
            <w:r>
              <w:rPr>
                <w:rFonts w:hint="eastAsia" w:hAnsi="宋体"/>
                <w:b/>
                <w:color w:val="auto"/>
                <w:szCs w:val="21"/>
                <w:highlight w:val="none"/>
                <w:u w:val="single"/>
              </w:rPr>
              <w:t>投标人提交投标保证金时需注明“                项目投标保证金”（可简化填写）。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6</w:t>
            </w:r>
          </w:p>
        </w:tc>
        <w:tc>
          <w:tcPr>
            <w:tcW w:w="1800" w:type="dxa"/>
            <w:vAlign w:val="center"/>
          </w:tcPr>
          <w:p>
            <w:pPr>
              <w:spacing w:line="360" w:lineRule="auto"/>
              <w:ind w:right="-21" w:rightChars="-10"/>
              <w:jc w:val="left"/>
              <w:rPr>
                <w:rStyle w:val="21"/>
                <w:color w:val="auto"/>
                <w:highlight w:val="none"/>
              </w:rPr>
            </w:pPr>
            <w:r>
              <w:rPr>
                <w:rStyle w:val="21"/>
                <w:rFonts w:hAnsi="宋体"/>
                <w:color w:val="auto"/>
                <w:highlight w:val="none"/>
              </w:rPr>
              <w:t>投标文件份数</w:t>
            </w:r>
          </w:p>
        </w:tc>
        <w:tc>
          <w:tcPr>
            <w:tcW w:w="6808" w:type="dxa"/>
            <w:vAlign w:val="center"/>
          </w:tcPr>
          <w:p>
            <w:pPr>
              <w:spacing w:line="360" w:lineRule="auto"/>
              <w:ind w:right="-21" w:rightChars="-10"/>
              <w:jc w:val="left"/>
              <w:rPr>
                <w:color w:val="auto"/>
                <w:highlight w:val="none"/>
              </w:rPr>
            </w:pPr>
            <w:r>
              <w:rPr>
                <w:color w:val="auto"/>
                <w:highlight w:val="none"/>
              </w:rPr>
              <w:t>投标文件的份数：正本一份，副本</w:t>
            </w:r>
            <w:r>
              <w:rPr>
                <w:rFonts w:hint="eastAsia"/>
                <w:color w:val="auto"/>
                <w:highlight w:val="none"/>
              </w:rPr>
              <w:t>2</w:t>
            </w:r>
            <w:r>
              <w:rPr>
                <w:color w:val="auto"/>
                <w:highlight w:val="none"/>
              </w:rPr>
              <w:t>份，电子</w:t>
            </w:r>
            <w:r>
              <w:rPr>
                <w:rFonts w:hint="eastAsia"/>
                <w:color w:val="auto"/>
                <w:highlight w:val="none"/>
              </w:rPr>
              <w:t>（盖章）</w:t>
            </w:r>
            <w:r>
              <w:rPr>
                <w:color w:val="auto"/>
                <w:highlight w:val="none"/>
              </w:rPr>
              <w:t>版本一份</w:t>
            </w:r>
            <w:r>
              <w:rPr>
                <w:rFonts w:hint="eastAsia"/>
                <w:color w:val="auto"/>
                <w:highlight w:val="none"/>
              </w:rPr>
              <w:t>（U盘形式，须为加盖公章的投标文件扫描件），提供的备查原件及U盘视频另外单独包封</w:t>
            </w:r>
            <w:r>
              <w:rPr>
                <w:color w:val="auto"/>
                <w:highlight w:val="none"/>
              </w:rPr>
              <w:t>。</w:t>
            </w:r>
          </w:p>
          <w:p>
            <w:pPr>
              <w:spacing w:line="360" w:lineRule="auto"/>
              <w:ind w:right="-21" w:rightChars="-10"/>
              <w:jc w:val="left"/>
              <w:rPr>
                <w:color w:val="auto"/>
                <w:highlight w:val="none"/>
              </w:rPr>
            </w:pPr>
            <w:r>
              <w:rPr>
                <w:rStyle w:val="21"/>
                <w:rFonts w:hint="eastAsia" w:ascii="宋体" w:hAnsi="宋体"/>
                <w:color w:val="auto"/>
                <w:highlight w:val="none"/>
              </w:rPr>
              <w:sym w:font="Wingdings 2" w:char="F0A3"/>
            </w:r>
            <w:r>
              <w:rPr>
                <w:rStyle w:val="21"/>
                <w:rFonts w:hint="eastAsia"/>
                <w:color w:val="auto"/>
                <w:highlight w:val="none"/>
              </w:rPr>
              <w:t>样品：</w:t>
            </w:r>
            <w:r>
              <w:rPr>
                <w:rFonts w:hint="eastAsia" w:ascii="宋体" w:hAnsi="宋体" w:cs="宋体"/>
                <w:color w:val="auto"/>
                <w:szCs w:val="21"/>
                <w:highlight w:val="none"/>
              </w:rPr>
              <w:t>本项目不要求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7</w:t>
            </w:r>
          </w:p>
        </w:tc>
        <w:tc>
          <w:tcPr>
            <w:tcW w:w="1800" w:type="dxa"/>
            <w:vAlign w:val="center"/>
          </w:tcPr>
          <w:p>
            <w:pPr>
              <w:spacing w:line="360" w:lineRule="auto"/>
              <w:jc w:val="left"/>
              <w:rPr>
                <w:color w:val="auto"/>
                <w:szCs w:val="21"/>
                <w:highlight w:val="none"/>
              </w:rPr>
            </w:pPr>
            <w:r>
              <w:rPr>
                <w:rFonts w:hAnsi="宋体"/>
                <w:color w:val="auto"/>
                <w:szCs w:val="21"/>
                <w:highlight w:val="none"/>
              </w:rPr>
              <w:t>踏勘现场</w:t>
            </w:r>
          </w:p>
        </w:tc>
        <w:tc>
          <w:tcPr>
            <w:tcW w:w="6808" w:type="dxa"/>
            <w:vAlign w:val="center"/>
          </w:tcPr>
          <w:p>
            <w:pPr>
              <w:adjustRightInd w:val="0"/>
              <w:snapToGrid w:val="0"/>
              <w:spacing w:line="400" w:lineRule="exact"/>
              <w:ind w:left="105" w:right="-21" w:rightChars="-10" w:hanging="105" w:hangingChars="50"/>
              <w:jc w:val="left"/>
              <w:rPr>
                <w:rFonts w:asciiTheme="minorEastAsia" w:hAnsiTheme="minorEastAsia" w:eastAsiaTheme="minorEastAsia" w:cstheme="minorEastAsia"/>
                <w:color w:val="auto"/>
                <w:szCs w:val="21"/>
                <w:highlight w:val="none"/>
              </w:rPr>
            </w:pPr>
            <w:bookmarkStart w:id="4" w:name="EBb1a8b4338b8e441e9d53e6fc78c62c09"/>
            <w:r>
              <w:rPr>
                <w:rFonts w:hint="eastAsia" w:asciiTheme="minorEastAsia" w:hAnsiTheme="minorEastAsia" w:eastAsiaTheme="minorEastAsia" w:cstheme="minorEastAsia"/>
                <w:color w:val="auto"/>
                <w:szCs w:val="21"/>
                <w:highlight w:val="none"/>
              </w:rPr>
              <w:sym w:font="Wingdings 2" w:char="F052"/>
            </w:r>
            <w:r>
              <w:rPr>
                <w:rFonts w:hint="eastAsia" w:asciiTheme="minorEastAsia" w:hAnsiTheme="minorEastAsia" w:eastAsiaTheme="minorEastAsia" w:cstheme="minorEastAsia"/>
                <w:color w:val="auto"/>
                <w:szCs w:val="21"/>
                <w:highlight w:val="none"/>
              </w:rPr>
              <w:t>不组织</w:t>
            </w:r>
          </w:p>
          <w:bookmarkEnd w:id="4"/>
          <w:p>
            <w:pPr>
              <w:adjustRightInd w:val="0"/>
              <w:snapToGrid w:val="0"/>
              <w:spacing w:line="400" w:lineRule="exact"/>
              <w:ind w:left="105" w:right="-21" w:rightChars="-10" w:hanging="105" w:hangingChars="50"/>
              <w:jc w:val="left"/>
              <w:rPr>
                <w:rFonts w:asciiTheme="minorEastAsia" w:hAnsiTheme="minorEastAsia" w:eastAsiaTheme="minorEastAsia" w:cstheme="minorEastAsia"/>
                <w:color w:val="auto"/>
                <w:szCs w:val="21"/>
                <w:highlight w:val="none"/>
              </w:rPr>
            </w:pPr>
            <w:bookmarkStart w:id="5" w:name="EBcbc26f89de974525b16658cbf31c1521"/>
            <w:bookmarkEnd w:id="5"/>
            <w:r>
              <w:rPr>
                <w:rFonts w:hint="eastAsia" w:asciiTheme="minorEastAsia" w:hAnsiTheme="minorEastAsia" w:eastAsiaTheme="minorEastAsia" w:cstheme="minorEastAsia"/>
                <w:color w:val="auto"/>
                <w:szCs w:val="21"/>
                <w:highlight w:val="none"/>
              </w:rPr>
              <w:t>☐组织，无需办理临时控制区通行证</w:t>
            </w:r>
          </w:p>
          <w:p>
            <w:pPr>
              <w:adjustRightInd w:val="0"/>
              <w:snapToGrid w:val="0"/>
              <w:spacing w:line="400" w:lineRule="exact"/>
              <w:ind w:left="105" w:right="-21" w:rightChars="-10" w:hanging="105" w:hangingChars="50"/>
              <w:jc w:val="left"/>
              <w:rPr>
                <w:rFonts w:asciiTheme="minorEastAsia" w:hAnsiTheme="minorEastAsia" w:eastAsiaTheme="minorEastAsia" w:cstheme="minorEastAsia"/>
                <w:color w:val="auto"/>
                <w:szCs w:val="21"/>
                <w:highlight w:val="none"/>
              </w:rPr>
            </w:pPr>
            <w:r>
              <w:rPr>
                <w:rFonts w:ascii="Segoe UI Symbol" w:hAnsi="Segoe UI Symbol" w:cs="Segoe UI Symbol" w:eastAsiaTheme="minorEastAsia"/>
                <w:color w:val="auto"/>
                <w:szCs w:val="21"/>
                <w:highlight w:val="none"/>
              </w:rPr>
              <w:t>☐</w:t>
            </w:r>
            <w:r>
              <w:rPr>
                <w:rFonts w:hint="eastAsia" w:asciiTheme="minorEastAsia" w:hAnsiTheme="minorEastAsia" w:eastAsiaTheme="minorEastAsia" w:cstheme="minorEastAsia"/>
                <w:color w:val="auto"/>
                <w:szCs w:val="21"/>
                <w:highlight w:val="none"/>
              </w:rPr>
              <w:t>组织，须办理临时控制区通行证</w:t>
            </w:r>
          </w:p>
          <w:p>
            <w:pPr>
              <w:adjustRightInd w:val="0"/>
              <w:snapToGrid w:val="0"/>
              <w:spacing w:line="400" w:lineRule="exact"/>
              <w:ind w:left="105" w:right="-21" w:rightChars="-10" w:hanging="105" w:hangingChars="5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联系人：       电  话：       其他要求:               </w:t>
            </w:r>
          </w:p>
          <w:p>
            <w:pPr>
              <w:adjustRightInd w:val="0"/>
              <w:snapToGrid w:val="0"/>
              <w:spacing w:line="400" w:lineRule="exact"/>
              <w:ind w:right="-21" w:rightChars="-10" w:hanging="5"/>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踏勘当日必须提交以下材料：(1)有效身份证原件；(2)有效身份证复制件1份；(3)一寸照1张。</w:t>
            </w:r>
          </w:p>
          <w:p>
            <w:pPr>
              <w:spacing w:line="360" w:lineRule="auto"/>
              <w:jc w:val="left"/>
              <w:rPr>
                <w:color w:val="auto"/>
                <w:szCs w:val="21"/>
                <w:highlight w:val="none"/>
                <w:u w:val="single"/>
              </w:rPr>
            </w:pPr>
            <w:r>
              <w:rPr>
                <w:rFonts w:hint="eastAsia" w:asciiTheme="minorEastAsia" w:hAnsiTheme="minorEastAsia" w:eastAsiaTheme="minorEastAsia" w:cstheme="minorEastAsia"/>
                <w:b/>
                <w:bCs/>
                <w:color w:val="auto"/>
                <w:szCs w:val="21"/>
                <w:highlight w:val="none"/>
              </w:rPr>
              <w:t>(由于未参加现场踏勘引起的报价失误等责任由投标人自负)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648" w:type="dxa"/>
            <w:vAlign w:val="center"/>
          </w:tcPr>
          <w:p>
            <w:pPr>
              <w:pStyle w:val="9"/>
              <w:spacing w:line="400" w:lineRule="exact"/>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w:t>
            </w:r>
          </w:p>
        </w:tc>
        <w:tc>
          <w:tcPr>
            <w:tcW w:w="1800" w:type="dxa"/>
            <w:vAlign w:val="center"/>
          </w:tcPr>
          <w:p>
            <w:pPr>
              <w:spacing w:line="400" w:lineRule="exact"/>
              <w:ind w:right="-21" w:rightChars="-10"/>
              <w:jc w:val="left"/>
              <w:rPr>
                <w:rStyle w:val="21"/>
                <w:rFonts w:hAnsi="宋体"/>
                <w:color w:val="auto"/>
                <w:highlight w:val="none"/>
              </w:rPr>
            </w:pPr>
            <w:r>
              <w:rPr>
                <w:rStyle w:val="21"/>
                <w:rFonts w:hint="eastAsia" w:hAnsi="宋体"/>
                <w:color w:val="auto"/>
                <w:highlight w:val="none"/>
              </w:rPr>
              <w:t>分包</w:t>
            </w:r>
          </w:p>
        </w:tc>
        <w:tc>
          <w:tcPr>
            <w:tcW w:w="6808" w:type="dxa"/>
            <w:vAlign w:val="center"/>
          </w:tcPr>
          <w:p>
            <w:pPr>
              <w:adjustRightInd w:val="0"/>
              <w:snapToGrid w:val="0"/>
              <w:spacing w:line="360" w:lineRule="auto"/>
              <w:ind w:left="105" w:right="-21" w:rightChars="-10" w:hanging="105" w:hangingChars="50"/>
              <w:jc w:val="left"/>
              <w:rPr>
                <w:rFonts w:ascii="宋体" w:hAnsi="宋体" w:cs="宋体"/>
                <w:color w:val="auto"/>
                <w:szCs w:val="21"/>
                <w:highlight w:val="none"/>
              </w:rPr>
            </w:pPr>
            <w:r>
              <w:rPr>
                <w:rFonts w:hint="eastAsia" w:ascii="宋体" w:hAnsi="宋体" w:cs="宋体"/>
                <w:color w:val="auto"/>
                <w:szCs w:val="21"/>
                <w:highlight w:val="none"/>
              </w:rPr>
              <w:sym w:font="Wingdings 2" w:char="F052"/>
            </w:r>
            <w:r>
              <w:rPr>
                <w:rFonts w:hint="eastAsia" w:ascii="宋体" w:hAnsi="宋体" w:cs="宋体"/>
                <w:color w:val="auto"/>
                <w:szCs w:val="21"/>
                <w:highlight w:val="none"/>
              </w:rPr>
              <w:t xml:space="preserve">不允许    </w:t>
            </w:r>
          </w:p>
          <w:p>
            <w:pPr>
              <w:adjustRightInd w:val="0"/>
              <w:snapToGrid w:val="0"/>
              <w:spacing w:line="360" w:lineRule="auto"/>
              <w:ind w:left="105" w:right="-21" w:rightChars="-10" w:hanging="105" w:hangingChars="50"/>
              <w:jc w:val="left"/>
              <w:rPr>
                <w:rFonts w:ascii="宋体" w:hAnsi="宋体" w:cs="宋体"/>
                <w:color w:val="auto"/>
                <w:szCs w:val="21"/>
                <w:highlight w:val="none"/>
              </w:rPr>
            </w:pPr>
            <w:r>
              <w:rPr>
                <w:rFonts w:hint="eastAsia" w:ascii="宋体" w:hAnsi="宋体" w:cs="宋体"/>
                <w:color w:val="auto"/>
                <w:szCs w:val="21"/>
                <w:highlight w:val="none"/>
              </w:rPr>
              <w:sym w:font="Wingdings 2" w:char="F0A3"/>
            </w:r>
            <w:r>
              <w:rPr>
                <w:rFonts w:hint="eastAsia" w:ascii="宋体" w:hAnsi="宋体" w:cs="宋体"/>
                <w:color w:val="auto"/>
                <w:szCs w:val="21"/>
                <w:highlight w:val="none"/>
              </w:rPr>
              <w:t>允许，分包内容要求：/分包金额要求：/；对分包人的资质要求：/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Align w:val="center"/>
          </w:tcPr>
          <w:p>
            <w:pPr>
              <w:pStyle w:val="9"/>
              <w:spacing w:line="400" w:lineRule="exact"/>
              <w:ind w:firstLine="0"/>
              <w:rPr>
                <w:rFonts w:ascii="Times New Roman" w:hAnsi="Times New Roman" w:eastAsia="宋体"/>
                <w:color w:val="auto"/>
                <w:kern w:val="2"/>
                <w:sz w:val="21"/>
                <w:szCs w:val="21"/>
                <w:highlight w:val="none"/>
              </w:rPr>
            </w:pPr>
            <w:r>
              <w:rPr>
                <w:rFonts w:hint="eastAsia" w:ascii="宋体" w:hAnsi="宋体" w:eastAsia="宋体" w:cs="宋体"/>
                <w:b/>
                <w:bCs/>
                <w:color w:val="auto"/>
                <w:sz w:val="21"/>
                <w:szCs w:val="21"/>
                <w:highlight w:val="none"/>
              </w:rPr>
              <w:t>★</w:t>
            </w:r>
            <w:r>
              <w:rPr>
                <w:rFonts w:hint="eastAsia" w:ascii="Times New Roman" w:hAnsi="Times New Roman" w:eastAsia="宋体"/>
                <w:b/>
                <w:bCs/>
                <w:color w:val="auto"/>
                <w:kern w:val="2"/>
                <w:sz w:val="21"/>
                <w:szCs w:val="21"/>
                <w:highlight w:val="none"/>
              </w:rPr>
              <w:t>9</w:t>
            </w:r>
          </w:p>
        </w:tc>
        <w:tc>
          <w:tcPr>
            <w:tcW w:w="1800" w:type="dxa"/>
            <w:vAlign w:val="center"/>
          </w:tcPr>
          <w:p>
            <w:pPr>
              <w:spacing w:line="400" w:lineRule="exact"/>
              <w:ind w:right="-21" w:rightChars="-10"/>
              <w:jc w:val="left"/>
              <w:rPr>
                <w:rStyle w:val="21"/>
                <w:rFonts w:hAnsi="宋体"/>
                <w:color w:val="auto"/>
                <w:highlight w:val="none"/>
              </w:rPr>
            </w:pPr>
            <w:r>
              <w:rPr>
                <w:rFonts w:ascii="宋体" w:hAnsi="宋体" w:cs="宋体"/>
                <w:b/>
                <w:bCs/>
                <w:color w:val="auto"/>
                <w:sz w:val="22"/>
                <w:highlight w:val="none"/>
              </w:rPr>
              <w:t>实质性要求</w:t>
            </w:r>
          </w:p>
        </w:tc>
        <w:tc>
          <w:tcPr>
            <w:tcW w:w="6808" w:type="dxa"/>
            <w:vAlign w:val="center"/>
          </w:tcPr>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b/>
                <w:bCs/>
                <w:color w:val="auto"/>
                <w:szCs w:val="21"/>
                <w:highlight w:val="none"/>
              </w:rPr>
              <w:t>投标文件存在以下情形之一的，由评标委员会评审后予以否决：</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(1)投标人的资格条件未满足投标人须知前附表第3条要求；</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(2)提供的证明文件未满足招标公告资格要求和本前附表第19条“资格审查资料的特殊要求”的要求；</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(3)未按招标文件的要求加盖单位公章，或投标人的法定代表人(或其委托代理人)未按招标文件要求签字或盖章的；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(4)当投标文件由委托代理人签署时，委托代理人未提供有效的委托授权书，或投标人无法通过招标公告规定的任意一种方式证明委托代理人是投标人单位正式员工的；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(5)投标人存在《中华人民共和国招标投标法实施条例》第三十九至四十二条规定的情形之一且经评标委员会半数以上成员认定的；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(6)投标人名称与获取招标文件时登记的名称不一致的；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(7)投标报价高于招标文件设定的最高投标限价的(如有)；</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(8)未按招标文件要求递交投标保证金或递交的投标保证金有瑕疵的；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(9)投标文件投标函载明的投标报价或其它关键内容未填写或无法辨认；</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(10)报价评审时，投标人拒绝按错误修正条款进行修正的；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(11)投标人未按招标文件要求的方式进行报价的；</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(12)未响应招标文件规定的实质性要求(包括具体条文前用“★”标示的和经评标委员会认定为重大偏差的条款)；</w:t>
            </w:r>
          </w:p>
          <w:p>
            <w:pPr>
              <w:adjustRightInd w:val="0"/>
              <w:snapToGrid w:val="0"/>
              <w:spacing w:line="400" w:lineRule="exact"/>
              <w:ind w:right="-21" w:rightChars="-10" w:hanging="5"/>
              <w:jc w:val="left"/>
              <w:rPr>
                <w:rFonts w:ascii="宋体" w:hAnsi="宋体" w:cs="宋体"/>
                <w:color w:val="auto"/>
                <w:szCs w:val="21"/>
                <w:highlight w:val="none"/>
              </w:rPr>
            </w:pPr>
            <w:r>
              <w:rPr>
                <w:rFonts w:hint="eastAsia" w:ascii="宋体" w:hAnsi="宋体" w:cs="宋体"/>
                <w:color w:val="auto"/>
                <w:szCs w:val="21"/>
                <w:highlight w:val="none"/>
              </w:rPr>
              <w:t xml:space="preserve">(13)存在法律、法规、规章规定的其它无效投标情况的。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48" w:type="dxa"/>
            <w:vAlign w:val="center"/>
          </w:tcPr>
          <w:p>
            <w:pPr>
              <w:pStyle w:val="9"/>
              <w:spacing w:line="400" w:lineRule="exact"/>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w:t>
            </w:r>
          </w:p>
        </w:tc>
        <w:tc>
          <w:tcPr>
            <w:tcW w:w="1800" w:type="dxa"/>
            <w:vAlign w:val="center"/>
          </w:tcPr>
          <w:p>
            <w:pPr>
              <w:spacing w:line="400" w:lineRule="exact"/>
              <w:ind w:right="-21" w:rightChars="-10"/>
              <w:jc w:val="left"/>
              <w:rPr>
                <w:rStyle w:val="21"/>
                <w:rFonts w:hAnsi="宋体"/>
                <w:color w:val="auto"/>
                <w:highlight w:val="none"/>
              </w:rPr>
            </w:pPr>
            <w:r>
              <w:rPr>
                <w:rStyle w:val="21"/>
                <w:rFonts w:hint="eastAsia" w:hAnsi="宋体"/>
                <w:color w:val="auto"/>
                <w:highlight w:val="none"/>
              </w:rPr>
              <w:t>偏差</w:t>
            </w:r>
          </w:p>
        </w:tc>
        <w:tc>
          <w:tcPr>
            <w:tcW w:w="6808" w:type="dxa"/>
            <w:vAlign w:val="center"/>
          </w:tcPr>
          <w:p>
            <w:pPr>
              <w:adjustRightInd w:val="0"/>
              <w:snapToGrid w:val="0"/>
              <w:spacing w:line="400" w:lineRule="exact"/>
              <w:ind w:right="-21" w:rightChars="-10" w:hanging="5"/>
              <w:jc w:val="left"/>
              <w:rPr>
                <w:rFonts w:hAnsi="宋体"/>
                <w:color w:val="auto"/>
                <w:szCs w:val="21"/>
                <w:highlight w:val="none"/>
              </w:rPr>
            </w:pPr>
            <w:r>
              <w:rPr>
                <w:rFonts w:ascii="宋体" w:hAnsi="宋体"/>
                <w:color w:val="auto"/>
                <w:sz w:val="22"/>
                <w:highlight w:val="none"/>
              </w:rPr>
              <w:sym w:font="Wingdings 2" w:char="0052"/>
            </w:r>
            <w:r>
              <w:rPr>
                <w:rFonts w:hint="eastAsia" w:hAnsi="宋体"/>
                <w:color w:val="auto"/>
                <w:szCs w:val="21"/>
                <w:highlight w:val="none"/>
              </w:rPr>
              <w:t>不允许</w:t>
            </w:r>
          </w:p>
          <w:p>
            <w:pPr>
              <w:spacing w:line="400" w:lineRule="exact"/>
              <w:ind w:right="-21" w:rightChars="-10"/>
              <w:jc w:val="left"/>
              <w:rPr>
                <w:rFonts w:ascii="宋体" w:hAnsi="宋体" w:cs="宋体"/>
                <w:color w:val="auto"/>
                <w:szCs w:val="21"/>
                <w:highlight w:val="none"/>
              </w:rPr>
            </w:pPr>
            <w:r>
              <w:rPr>
                <w:rFonts w:ascii="宋体" w:hAnsi="宋体"/>
                <w:color w:val="auto"/>
                <w:sz w:val="22"/>
                <w:highlight w:val="none"/>
              </w:rPr>
              <w:sym w:font="Wingdings 2" w:char="00A3"/>
            </w:r>
            <w:r>
              <w:rPr>
                <w:rFonts w:hint="eastAsia" w:hAnsi="宋体"/>
                <w:color w:val="auto"/>
                <w:szCs w:val="21"/>
                <w:highlight w:val="none"/>
              </w:rPr>
              <w:t>允许，偏差范围：优于招标文件要求的技术商务响应和经评标委员会认定的细微偏差(除前附表第9条外)。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11</w:t>
            </w:r>
          </w:p>
        </w:tc>
        <w:tc>
          <w:tcPr>
            <w:tcW w:w="1800" w:type="dxa"/>
            <w:vAlign w:val="center"/>
          </w:tcPr>
          <w:p>
            <w:pPr>
              <w:spacing w:line="360" w:lineRule="auto"/>
              <w:ind w:right="-21" w:rightChars="-10"/>
              <w:jc w:val="left"/>
              <w:rPr>
                <w:rStyle w:val="21"/>
                <w:color w:val="auto"/>
                <w:highlight w:val="none"/>
              </w:rPr>
            </w:pPr>
            <w:r>
              <w:rPr>
                <w:rStyle w:val="21"/>
                <w:rFonts w:hAnsi="宋体"/>
                <w:color w:val="auto"/>
                <w:highlight w:val="none"/>
              </w:rPr>
              <w:t>答疑时间</w:t>
            </w:r>
          </w:p>
        </w:tc>
        <w:tc>
          <w:tcPr>
            <w:tcW w:w="6808" w:type="dxa"/>
            <w:vAlign w:val="center"/>
          </w:tcPr>
          <w:p>
            <w:pPr>
              <w:wordWrap w:val="0"/>
              <w:spacing w:line="360" w:lineRule="auto"/>
              <w:jc w:val="left"/>
              <w:rPr>
                <w:rStyle w:val="21"/>
                <w:color w:val="auto"/>
                <w:highlight w:val="none"/>
              </w:rPr>
            </w:pPr>
            <w:r>
              <w:rPr>
                <w:rFonts w:hint="eastAsia" w:ascii="宋体" w:hAnsi="宋体" w:cs="宋体"/>
                <w:color w:val="auto"/>
                <w:szCs w:val="21"/>
                <w:highlight w:val="none"/>
              </w:rPr>
              <w:t>各投标人如对招标文件如有疑问，请将书面材料于</w:t>
            </w:r>
            <w:r>
              <w:rPr>
                <w:rFonts w:hint="eastAsia" w:ascii="宋体" w:hAnsi="宋体" w:cs="宋体"/>
                <w:color w:val="auto"/>
                <w:szCs w:val="21"/>
                <w:highlight w:val="none"/>
                <w:u w:val="single"/>
              </w:rPr>
              <w:t>2</w:t>
            </w:r>
            <w:r>
              <w:rPr>
                <w:rFonts w:hint="eastAsia" w:ascii="宋体" w:hAnsi="宋体" w:cs="宋体"/>
                <w:color w:val="auto"/>
                <w:szCs w:val="21"/>
                <w:highlight w:val="none"/>
                <w:u w:val="single"/>
              </w:rPr>
              <w:t>024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日1</w:t>
            </w:r>
            <w:r>
              <w:rPr>
                <w:rFonts w:hint="eastAsia" w:ascii="宋体" w:hAnsi="宋体" w:cs="宋体"/>
                <w:color w:val="auto"/>
                <w:szCs w:val="21"/>
                <w:highlight w:val="none"/>
              </w:rPr>
              <w:t>2:00前将疑问的电子版（WORD和PDF版）发送至</w:t>
            </w:r>
            <w:r>
              <w:rPr>
                <w:rFonts w:hint="eastAsia" w:ascii="宋体" w:hAnsi="宋体" w:cs="宋体"/>
                <w:color w:val="auto"/>
                <w:szCs w:val="21"/>
                <w:highlight w:val="none"/>
                <w:u w:val="single"/>
              </w:rPr>
              <w:t>3533386879@qq.com</w:t>
            </w:r>
            <w:r>
              <w:rPr>
                <w:rFonts w:hint="eastAsia" w:ascii="宋体" w:hAnsi="宋体" w:cs="宋体"/>
                <w:color w:val="auto"/>
                <w:szCs w:val="21"/>
                <w:highlight w:val="none"/>
              </w:rPr>
              <w:t>。招标人将视情况并采用适当方式予以澄清或予以书面形式答复。投标人必须在规定时间前提出对招标文件的疑问，否则招标人有权拒绝接收或拒绝回答未在截止时间前提出的疑问。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12</w:t>
            </w:r>
          </w:p>
        </w:tc>
        <w:tc>
          <w:tcPr>
            <w:tcW w:w="1800" w:type="dxa"/>
            <w:vAlign w:val="center"/>
          </w:tcPr>
          <w:p>
            <w:pPr>
              <w:spacing w:line="400" w:lineRule="exact"/>
              <w:ind w:right="-21" w:rightChars="-10"/>
              <w:jc w:val="left"/>
              <w:rPr>
                <w:rStyle w:val="21"/>
                <w:color w:val="auto"/>
                <w:highlight w:val="none"/>
              </w:rPr>
            </w:pPr>
            <w:r>
              <w:rPr>
                <w:rFonts w:hAnsi="宋体"/>
                <w:color w:val="auto"/>
                <w:szCs w:val="21"/>
                <w:highlight w:val="none"/>
              </w:rPr>
              <w:t>投标截止时间与</w:t>
            </w:r>
            <w:r>
              <w:rPr>
                <w:rFonts w:hint="eastAsia" w:hAnsi="宋体"/>
                <w:color w:val="auto"/>
                <w:szCs w:val="21"/>
                <w:highlight w:val="none"/>
              </w:rPr>
              <w:t>与投标文件递交地点</w:t>
            </w:r>
          </w:p>
        </w:tc>
        <w:tc>
          <w:tcPr>
            <w:tcW w:w="6808" w:type="dxa"/>
            <w:vAlign w:val="center"/>
          </w:tcPr>
          <w:p>
            <w:pPr>
              <w:adjustRightInd w:val="0"/>
              <w:spacing w:line="400" w:lineRule="exact"/>
              <w:jc w:val="left"/>
              <w:rPr>
                <w:rStyle w:val="21"/>
                <w:color w:val="auto"/>
                <w:highlight w:val="none"/>
              </w:rPr>
            </w:pPr>
            <w:r>
              <w:rPr>
                <w:rFonts w:hint="eastAsia" w:hAnsi="宋体"/>
                <w:color w:val="auto"/>
                <w:szCs w:val="21"/>
                <w:highlight w:val="none"/>
              </w:rPr>
              <w:t>见“招标公告”相应内容</w:t>
            </w:r>
            <w:r>
              <w:rPr>
                <w:rFonts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w:t>
            </w:r>
            <w:r>
              <w:rPr>
                <w:rFonts w:hint="eastAsia" w:ascii="Times New Roman" w:hAnsi="Times New Roman" w:eastAsia="宋体"/>
                <w:color w:val="auto"/>
                <w:kern w:val="2"/>
                <w:sz w:val="21"/>
                <w:szCs w:val="21"/>
                <w:highlight w:val="none"/>
              </w:rPr>
              <w:t>3</w:t>
            </w:r>
          </w:p>
        </w:tc>
        <w:tc>
          <w:tcPr>
            <w:tcW w:w="1800" w:type="dxa"/>
            <w:vAlign w:val="center"/>
          </w:tcPr>
          <w:p>
            <w:pPr>
              <w:spacing w:line="400" w:lineRule="exact"/>
              <w:ind w:right="-21" w:rightChars="-10"/>
              <w:jc w:val="left"/>
              <w:rPr>
                <w:rStyle w:val="21"/>
                <w:color w:val="auto"/>
                <w:highlight w:val="none"/>
              </w:rPr>
            </w:pPr>
            <w:r>
              <w:rPr>
                <w:rFonts w:ascii="宋体" w:hAnsi="宋体" w:cs="宋体"/>
                <w:color w:val="auto"/>
                <w:sz w:val="22"/>
                <w:highlight w:val="none"/>
              </w:rPr>
              <w:t>开标时间和地点</w:t>
            </w:r>
          </w:p>
        </w:tc>
        <w:tc>
          <w:tcPr>
            <w:tcW w:w="6808" w:type="dxa"/>
            <w:vAlign w:val="center"/>
          </w:tcPr>
          <w:p>
            <w:pPr>
              <w:spacing w:line="400" w:lineRule="exact"/>
              <w:jc w:val="left"/>
              <w:rPr>
                <w:rStyle w:val="21"/>
                <w:color w:val="auto"/>
                <w:highlight w:val="none"/>
              </w:rPr>
            </w:pPr>
            <w:r>
              <w:rPr>
                <w:rFonts w:hint="eastAsia" w:hAnsi="宋体"/>
                <w:color w:val="auto"/>
                <w:szCs w:val="21"/>
                <w:highlight w:val="none"/>
              </w:rPr>
              <w:t>见“招标公告”相应内容</w:t>
            </w:r>
            <w:r>
              <w:rPr>
                <w:rFonts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w:t>
            </w:r>
            <w:r>
              <w:rPr>
                <w:rFonts w:hint="eastAsia" w:ascii="Times New Roman" w:hAnsi="Times New Roman" w:eastAsia="宋体"/>
                <w:color w:val="auto"/>
                <w:kern w:val="2"/>
                <w:sz w:val="21"/>
                <w:szCs w:val="21"/>
                <w:highlight w:val="none"/>
              </w:rPr>
              <w:t>4</w:t>
            </w:r>
          </w:p>
        </w:tc>
        <w:tc>
          <w:tcPr>
            <w:tcW w:w="1800" w:type="dxa"/>
            <w:vAlign w:val="center"/>
          </w:tcPr>
          <w:p>
            <w:pPr>
              <w:spacing w:line="360" w:lineRule="auto"/>
              <w:jc w:val="left"/>
              <w:rPr>
                <w:color w:val="auto"/>
                <w:kern w:val="0"/>
                <w:szCs w:val="21"/>
                <w:highlight w:val="none"/>
              </w:rPr>
            </w:pPr>
            <w:r>
              <w:rPr>
                <w:rFonts w:hAnsi="宋体"/>
                <w:color w:val="auto"/>
                <w:kern w:val="0"/>
                <w:szCs w:val="21"/>
                <w:highlight w:val="none"/>
              </w:rPr>
              <w:t>开评标程序</w:t>
            </w:r>
          </w:p>
        </w:tc>
        <w:tc>
          <w:tcPr>
            <w:tcW w:w="6808" w:type="dxa"/>
            <w:vAlign w:val="center"/>
          </w:tcPr>
          <w:p>
            <w:pPr>
              <w:spacing w:line="360" w:lineRule="auto"/>
              <w:jc w:val="left"/>
              <w:rPr>
                <w:color w:val="auto"/>
                <w:kern w:val="0"/>
                <w:szCs w:val="21"/>
                <w:highlight w:val="none"/>
              </w:rPr>
            </w:pPr>
            <w:r>
              <w:rPr>
                <w:rFonts w:hint="eastAsia" w:ascii="宋体" w:hAnsi="宋体" w:cs="宋体"/>
                <w:color w:val="auto"/>
                <w:kern w:val="0"/>
                <w:szCs w:val="21"/>
                <w:highlight w:val="none"/>
              </w:rPr>
              <w:t>密封情况检查</w:t>
            </w:r>
            <w:r>
              <w:rPr>
                <w:rFonts w:hint="eastAsia" w:ascii="宋体" w:hAnsi="宋体" w:cs="宋体"/>
                <w:color w:val="auto"/>
                <w:kern w:val="0"/>
                <w:szCs w:val="21"/>
                <w:highlight w:val="none"/>
              </w:rPr>
              <w:sym w:font="Wingdings" w:char="F0E8"/>
            </w:r>
            <w:r>
              <w:rPr>
                <w:rFonts w:hint="eastAsia" w:ascii="宋体" w:hAnsi="宋体" w:cs="宋体"/>
                <w:color w:val="auto"/>
                <w:szCs w:val="21"/>
                <w:highlight w:val="none"/>
              </w:rPr>
              <w:t>开标唱标（价格）</w:t>
            </w:r>
            <w:r>
              <w:rPr>
                <w:rFonts w:hint="eastAsia" w:ascii="宋体" w:hAnsi="宋体" w:cs="宋体"/>
                <w:color w:val="auto"/>
                <w:szCs w:val="21"/>
                <w:highlight w:val="none"/>
              </w:rPr>
              <w:sym w:font="Wingdings" w:char="F0E8"/>
            </w:r>
            <w:r>
              <w:rPr>
                <w:rFonts w:hint="eastAsia" w:ascii="宋体" w:hAnsi="宋体" w:cs="宋体"/>
                <w:color w:val="auto"/>
                <w:szCs w:val="21"/>
                <w:highlight w:val="none"/>
              </w:rPr>
              <w:t>投标文件初步审查</w:t>
            </w:r>
            <w:r>
              <w:rPr>
                <w:rFonts w:hint="eastAsia" w:ascii="宋体" w:hAnsi="宋体" w:cs="宋体"/>
                <w:color w:val="auto"/>
                <w:szCs w:val="21"/>
                <w:highlight w:val="none"/>
              </w:rPr>
              <w:sym w:font="Wingdings" w:char="F0E8"/>
            </w:r>
            <w:r>
              <w:rPr>
                <w:rFonts w:hint="eastAsia" w:ascii="宋体" w:hAnsi="宋体" w:cs="宋体"/>
                <w:color w:val="auto"/>
                <w:szCs w:val="21"/>
                <w:highlight w:val="none"/>
              </w:rPr>
              <w:t>投标文件详细评审</w:t>
            </w:r>
            <w:r>
              <w:rPr>
                <w:rFonts w:hint="eastAsia" w:ascii="宋体" w:hAnsi="宋体" w:cs="宋体"/>
                <w:color w:val="auto"/>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48" w:type="dxa"/>
            <w:vAlign w:val="center"/>
          </w:tcPr>
          <w:p>
            <w:pPr>
              <w:pStyle w:val="9"/>
              <w:spacing w:line="360" w:lineRule="auto"/>
              <w:ind w:firstLine="0"/>
              <w:rPr>
                <w:rFonts w:ascii="Times New Roman" w:hAnsi="Times New Roman" w:eastAsia="宋体"/>
                <w:b/>
                <w:color w:val="auto"/>
                <w:kern w:val="2"/>
                <w:sz w:val="21"/>
                <w:szCs w:val="21"/>
                <w:highlight w:val="none"/>
              </w:rPr>
            </w:pPr>
            <w:r>
              <w:rPr>
                <w:rFonts w:ascii="宋体" w:hAnsi="宋体" w:eastAsia="宋体"/>
                <w:b/>
                <w:color w:val="auto"/>
                <w:kern w:val="2"/>
                <w:sz w:val="21"/>
                <w:szCs w:val="21"/>
                <w:highlight w:val="none"/>
              </w:rPr>
              <w:t>★</w:t>
            </w:r>
            <w:r>
              <w:rPr>
                <w:rFonts w:ascii="Times New Roman" w:hAnsi="Times New Roman" w:eastAsia="宋体"/>
                <w:b/>
                <w:color w:val="auto"/>
                <w:kern w:val="2"/>
                <w:sz w:val="21"/>
                <w:szCs w:val="21"/>
                <w:highlight w:val="none"/>
              </w:rPr>
              <w:t>1</w:t>
            </w:r>
            <w:r>
              <w:rPr>
                <w:rFonts w:hint="eastAsia" w:ascii="Times New Roman" w:hAnsi="Times New Roman" w:eastAsia="宋体"/>
                <w:b/>
                <w:color w:val="auto"/>
                <w:kern w:val="2"/>
                <w:sz w:val="21"/>
                <w:szCs w:val="21"/>
                <w:highlight w:val="none"/>
              </w:rPr>
              <w:t>5</w:t>
            </w:r>
          </w:p>
        </w:tc>
        <w:tc>
          <w:tcPr>
            <w:tcW w:w="1800" w:type="dxa"/>
            <w:vAlign w:val="center"/>
          </w:tcPr>
          <w:p>
            <w:pPr>
              <w:spacing w:line="360" w:lineRule="auto"/>
              <w:ind w:right="-21" w:rightChars="-10"/>
              <w:jc w:val="left"/>
              <w:rPr>
                <w:rStyle w:val="21"/>
                <w:b/>
                <w:color w:val="auto"/>
                <w:highlight w:val="none"/>
              </w:rPr>
            </w:pPr>
            <w:r>
              <w:rPr>
                <w:rStyle w:val="21"/>
                <w:rFonts w:hAnsi="宋体"/>
                <w:b/>
                <w:color w:val="auto"/>
                <w:highlight w:val="none"/>
              </w:rPr>
              <w:t>投标有效期</w:t>
            </w:r>
          </w:p>
        </w:tc>
        <w:tc>
          <w:tcPr>
            <w:tcW w:w="6808" w:type="dxa"/>
            <w:vAlign w:val="center"/>
          </w:tcPr>
          <w:p>
            <w:pPr>
              <w:spacing w:line="360" w:lineRule="auto"/>
              <w:ind w:right="-21" w:rightChars="-10"/>
              <w:jc w:val="left"/>
              <w:rPr>
                <w:rStyle w:val="21"/>
                <w:color w:val="auto"/>
                <w:highlight w:val="none"/>
              </w:rPr>
            </w:pPr>
            <w:r>
              <w:rPr>
                <w:rFonts w:hint="eastAsia" w:ascii="宋体" w:hAnsi="宋体" w:cs="宋体"/>
                <w:b/>
                <w:color w:val="auto"/>
                <w:szCs w:val="21"/>
                <w:highlight w:val="none"/>
              </w:rPr>
              <w:t xml:space="preserve">自投标截止日起 </w:t>
            </w:r>
            <w:r>
              <w:rPr>
                <w:rFonts w:hint="eastAsia" w:ascii="宋体" w:hAnsi="宋体" w:cs="宋体"/>
                <w:b/>
                <w:color w:val="auto"/>
                <w:szCs w:val="21"/>
                <w:highlight w:val="none"/>
                <w:u w:val="single"/>
              </w:rPr>
              <w:t>90</w:t>
            </w:r>
            <w:r>
              <w:rPr>
                <w:rFonts w:hint="eastAsia" w:ascii="宋体" w:hAnsi="宋体" w:cs="宋体"/>
                <w:b/>
                <w:color w:val="auto"/>
                <w:szCs w:val="21"/>
                <w:highlight w:val="none"/>
              </w:rPr>
              <w:t xml:space="preserve"> 个日历天，投标有效期短于这个规定期限的投标将视为非响应性投标而予以否决投标处理。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w:t>
            </w:r>
            <w:r>
              <w:rPr>
                <w:rFonts w:hint="eastAsia" w:ascii="Times New Roman" w:hAnsi="Times New Roman" w:eastAsia="宋体"/>
                <w:color w:val="auto"/>
                <w:kern w:val="2"/>
                <w:sz w:val="21"/>
                <w:szCs w:val="21"/>
                <w:highlight w:val="none"/>
              </w:rPr>
              <w:t>6</w:t>
            </w:r>
          </w:p>
        </w:tc>
        <w:tc>
          <w:tcPr>
            <w:tcW w:w="1800" w:type="dxa"/>
            <w:vAlign w:val="center"/>
          </w:tcPr>
          <w:p>
            <w:pPr>
              <w:spacing w:line="360" w:lineRule="auto"/>
              <w:ind w:right="-21" w:rightChars="-10"/>
              <w:jc w:val="left"/>
              <w:rPr>
                <w:rStyle w:val="21"/>
                <w:color w:val="auto"/>
                <w:highlight w:val="none"/>
              </w:rPr>
            </w:pPr>
            <w:r>
              <w:rPr>
                <w:rStyle w:val="21"/>
                <w:rFonts w:hAnsi="宋体"/>
                <w:color w:val="auto"/>
                <w:highlight w:val="none"/>
              </w:rPr>
              <w:t>评标办法</w:t>
            </w:r>
          </w:p>
        </w:tc>
        <w:tc>
          <w:tcPr>
            <w:tcW w:w="6808" w:type="dxa"/>
            <w:vAlign w:val="center"/>
          </w:tcPr>
          <w:p>
            <w:pPr>
              <w:spacing w:line="360" w:lineRule="auto"/>
              <w:ind w:right="-21" w:rightChars="-10"/>
              <w:jc w:val="left"/>
              <w:rPr>
                <w:rStyle w:val="21"/>
                <w:color w:val="auto"/>
                <w:highlight w:val="none"/>
              </w:rPr>
            </w:pPr>
            <w:r>
              <w:rPr>
                <w:rStyle w:val="21"/>
                <w:rFonts w:hint="eastAsia" w:ascii="宋体" w:hAnsi="宋体" w:cs="宋体" w:eastAsiaTheme="minorEastAsia"/>
                <w:b/>
                <w:bCs/>
                <w:color w:val="auto"/>
                <w:highlight w:val="non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8" w:type="dxa"/>
            <w:vAlign w:val="center"/>
          </w:tcPr>
          <w:p>
            <w:pPr>
              <w:pStyle w:val="9"/>
              <w:spacing w:line="400" w:lineRule="exact"/>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17</w:t>
            </w:r>
          </w:p>
        </w:tc>
        <w:tc>
          <w:tcPr>
            <w:tcW w:w="1800" w:type="dxa"/>
            <w:vAlign w:val="center"/>
          </w:tcPr>
          <w:p>
            <w:pPr>
              <w:spacing w:line="400" w:lineRule="exact"/>
              <w:ind w:right="-21" w:rightChars="-10"/>
              <w:jc w:val="left"/>
              <w:rPr>
                <w:rFonts w:hAnsi="宋体"/>
                <w:color w:val="auto"/>
                <w:szCs w:val="21"/>
                <w:highlight w:val="none"/>
              </w:rPr>
            </w:pPr>
            <w:r>
              <w:rPr>
                <w:rFonts w:hint="eastAsia" w:hAnsi="宋体"/>
                <w:bCs/>
                <w:color w:val="auto"/>
                <w:szCs w:val="21"/>
                <w:highlight w:val="none"/>
              </w:rPr>
              <w:t>报价方式</w:t>
            </w:r>
          </w:p>
        </w:tc>
        <w:tc>
          <w:tcPr>
            <w:tcW w:w="6808" w:type="dxa"/>
            <w:vAlign w:val="center"/>
          </w:tcPr>
          <w:p>
            <w:pPr>
              <w:spacing w:line="400" w:lineRule="exact"/>
              <w:ind w:right="-21" w:rightChars="-10"/>
              <w:jc w:val="left"/>
              <w:rPr>
                <w:rFonts w:hAnsi="宋体"/>
                <w:color w:val="auto"/>
                <w:szCs w:val="21"/>
                <w:highlight w:val="none"/>
              </w:rPr>
            </w:pPr>
            <w:r>
              <w:rPr>
                <w:rFonts w:hint="eastAsia" w:ascii="宋体" w:hAnsi="宋体"/>
                <w:color w:val="auto"/>
                <w:sz w:val="22"/>
                <w:highlight w:val="none"/>
              </w:rPr>
              <w:sym w:font="Wingdings 2" w:char="00A3"/>
            </w:r>
            <w:r>
              <w:rPr>
                <w:rFonts w:hint="eastAsia" w:ascii="宋体" w:hAnsi="宋体" w:cs="宋体"/>
                <w:bCs/>
                <w:color w:val="auto"/>
                <w:sz w:val="22"/>
                <w:highlight w:val="none"/>
              </w:rPr>
              <w:t xml:space="preserve">固定总价  </w:t>
            </w:r>
            <w:r>
              <w:rPr>
                <w:rFonts w:hint="eastAsia" w:ascii="MS Mincho" w:hAnsi="MS Mincho" w:eastAsia="MS Mincho" w:cs="MS Mincho"/>
                <w:color w:val="auto"/>
                <w:sz w:val="22"/>
                <w:highlight w:val="none"/>
              </w:rPr>
              <w:sym w:font="Wingdings 2" w:char="0052"/>
            </w:r>
            <w:r>
              <w:rPr>
                <w:rFonts w:hint="eastAsia" w:ascii="MS Mincho" w:hAnsi="MS Mincho" w:eastAsia="MS Mincho" w:cs="MS Mincho"/>
                <w:color w:val="auto"/>
                <w:sz w:val="22"/>
                <w:highlight w:val="none"/>
              </w:rPr>
              <w:t>有</w:t>
            </w:r>
            <w:r>
              <w:rPr>
                <w:rFonts w:hint="eastAsia" w:ascii="宋体" w:hAnsi="宋体" w:cs="宋体"/>
                <w:bCs/>
                <w:color w:val="auto"/>
                <w:sz w:val="22"/>
                <w:highlight w:val="none"/>
              </w:rPr>
              <w:t>固定单价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8" w:type="dxa"/>
            <w:vAlign w:val="center"/>
          </w:tcPr>
          <w:p>
            <w:pPr>
              <w:spacing w:line="360" w:lineRule="auto"/>
              <w:jc w:val="left"/>
              <w:rPr>
                <w:color w:val="auto"/>
                <w:szCs w:val="21"/>
                <w:highlight w:val="none"/>
              </w:rPr>
            </w:pPr>
            <w:r>
              <w:rPr>
                <w:rFonts w:ascii="宋体" w:hAnsi="宋体"/>
                <w:color w:val="auto"/>
                <w:szCs w:val="21"/>
                <w:highlight w:val="none"/>
              </w:rPr>
              <w:t>★</w:t>
            </w:r>
            <w:r>
              <w:rPr>
                <w:b/>
                <w:color w:val="auto"/>
                <w:szCs w:val="21"/>
                <w:highlight w:val="none"/>
              </w:rPr>
              <w:t>1</w:t>
            </w:r>
            <w:r>
              <w:rPr>
                <w:rFonts w:hint="eastAsia"/>
                <w:b/>
                <w:color w:val="auto"/>
                <w:szCs w:val="21"/>
                <w:highlight w:val="none"/>
              </w:rPr>
              <w:t>8</w:t>
            </w:r>
          </w:p>
        </w:tc>
        <w:tc>
          <w:tcPr>
            <w:tcW w:w="1800" w:type="dxa"/>
            <w:vAlign w:val="center"/>
          </w:tcPr>
          <w:p>
            <w:pPr>
              <w:adjustRightInd w:val="0"/>
              <w:spacing w:line="360" w:lineRule="auto"/>
              <w:jc w:val="left"/>
              <w:rPr>
                <w:b/>
                <w:color w:val="auto"/>
                <w:szCs w:val="21"/>
                <w:highlight w:val="none"/>
              </w:rPr>
            </w:pPr>
            <w:r>
              <w:rPr>
                <w:rFonts w:hAnsi="宋体"/>
                <w:b/>
                <w:color w:val="auto"/>
                <w:szCs w:val="21"/>
                <w:highlight w:val="none"/>
              </w:rPr>
              <w:t>最</w:t>
            </w:r>
            <w:r>
              <w:rPr>
                <w:rFonts w:hint="eastAsia" w:hAnsi="宋体"/>
                <w:b/>
                <w:color w:val="auto"/>
                <w:szCs w:val="21"/>
                <w:highlight w:val="none"/>
              </w:rPr>
              <w:t>高</w:t>
            </w:r>
            <w:r>
              <w:rPr>
                <w:rFonts w:hAnsi="宋体"/>
                <w:b/>
                <w:color w:val="auto"/>
                <w:szCs w:val="21"/>
                <w:highlight w:val="none"/>
              </w:rPr>
              <w:t>限价</w:t>
            </w:r>
          </w:p>
        </w:tc>
        <w:tc>
          <w:tcPr>
            <w:tcW w:w="6808" w:type="dxa"/>
            <w:vAlign w:val="center"/>
          </w:tcPr>
          <w:p>
            <w:pPr>
              <w:adjustRightInd w:val="0"/>
              <w:spacing w:line="360" w:lineRule="auto"/>
              <w:jc w:val="left"/>
              <w:rPr>
                <w:b/>
                <w:color w:val="auto"/>
                <w:szCs w:val="21"/>
                <w:highlight w:val="none"/>
              </w:rPr>
            </w:pPr>
            <w:r>
              <w:rPr>
                <w:rFonts w:hAnsi="宋体"/>
                <w:b/>
                <w:color w:val="auto"/>
                <w:szCs w:val="21"/>
                <w:highlight w:val="none"/>
              </w:rPr>
              <w:t>本项目设最</w:t>
            </w:r>
            <w:r>
              <w:rPr>
                <w:rFonts w:hint="eastAsia" w:hAnsi="宋体"/>
                <w:b/>
                <w:color w:val="auto"/>
                <w:szCs w:val="21"/>
                <w:highlight w:val="none"/>
              </w:rPr>
              <w:t>高</w:t>
            </w:r>
            <w:r>
              <w:rPr>
                <w:rFonts w:hAnsi="宋体"/>
                <w:b/>
                <w:color w:val="auto"/>
                <w:szCs w:val="21"/>
                <w:highlight w:val="none"/>
              </w:rPr>
              <w:t>限价为</w:t>
            </w:r>
            <w:r>
              <w:rPr>
                <w:rFonts w:hint="eastAsia" w:hAnsi="宋体"/>
                <w:b/>
                <w:color w:val="auto"/>
                <w:szCs w:val="21"/>
                <w:highlight w:val="none"/>
                <w:u w:val="single"/>
              </w:rPr>
              <w:t>：500000元（含税金额），442478元（不含税金额）</w:t>
            </w:r>
            <w:r>
              <w:rPr>
                <w:rFonts w:hAnsi="宋体"/>
                <w:b/>
                <w:color w:val="auto"/>
                <w:szCs w:val="21"/>
                <w:highlight w:val="none"/>
              </w:rPr>
              <w:t>投标报价</w:t>
            </w:r>
            <w:r>
              <w:rPr>
                <w:rFonts w:hint="eastAsia" w:hAnsi="宋体"/>
                <w:b/>
                <w:color w:val="auto"/>
                <w:szCs w:val="21"/>
                <w:highlight w:val="none"/>
              </w:rPr>
              <w:t>高</w:t>
            </w:r>
            <w:r>
              <w:rPr>
                <w:rFonts w:hAnsi="宋体"/>
                <w:b/>
                <w:color w:val="auto"/>
                <w:szCs w:val="21"/>
                <w:highlight w:val="none"/>
              </w:rPr>
              <w:t>于最</w:t>
            </w:r>
            <w:r>
              <w:rPr>
                <w:rFonts w:hint="eastAsia" w:hAnsi="宋体"/>
                <w:b/>
                <w:color w:val="auto"/>
                <w:szCs w:val="21"/>
                <w:highlight w:val="none"/>
              </w:rPr>
              <w:t>高</w:t>
            </w:r>
            <w:r>
              <w:rPr>
                <w:rFonts w:hAnsi="宋体"/>
                <w:b/>
                <w:color w:val="auto"/>
                <w:szCs w:val="21"/>
                <w:highlight w:val="none"/>
              </w:rPr>
              <w:t>限价将否决其投标</w:t>
            </w:r>
            <w:r>
              <w:rPr>
                <w:rFonts w:hint="eastAsia" w:hAnsi="宋体"/>
                <w:b/>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trPr>
        <w:tc>
          <w:tcPr>
            <w:tcW w:w="648" w:type="dxa"/>
            <w:vAlign w:val="center"/>
          </w:tcPr>
          <w:p>
            <w:pPr>
              <w:spacing w:line="400" w:lineRule="exact"/>
              <w:jc w:val="left"/>
              <w:rPr>
                <w:rFonts w:ascii="宋体" w:hAnsi="宋体"/>
                <w:color w:val="auto"/>
                <w:szCs w:val="21"/>
                <w:highlight w:val="none"/>
              </w:rPr>
            </w:pPr>
            <w:r>
              <w:rPr>
                <w:rFonts w:hint="eastAsia"/>
                <w:color w:val="auto"/>
                <w:szCs w:val="21"/>
                <w:highlight w:val="none"/>
              </w:rPr>
              <w:t>19</w:t>
            </w:r>
          </w:p>
        </w:tc>
        <w:tc>
          <w:tcPr>
            <w:tcW w:w="1800" w:type="dxa"/>
            <w:vAlign w:val="center"/>
          </w:tcPr>
          <w:p>
            <w:pPr>
              <w:autoSpaceDE w:val="0"/>
              <w:autoSpaceDN w:val="0"/>
              <w:adjustRightInd w:val="0"/>
              <w:spacing w:line="400" w:lineRule="exact"/>
              <w:jc w:val="left"/>
              <w:rPr>
                <w:rFonts w:hAnsi="宋体"/>
                <w:b/>
                <w:color w:val="auto"/>
                <w:szCs w:val="21"/>
                <w:highlight w:val="none"/>
              </w:rPr>
            </w:pPr>
            <w:r>
              <w:rPr>
                <w:rStyle w:val="21"/>
                <w:rFonts w:hint="eastAsia" w:hAnsi="宋体"/>
                <w:color w:val="auto"/>
                <w:highlight w:val="none"/>
              </w:rPr>
              <w:t>资格审查资料的特殊要求</w:t>
            </w:r>
          </w:p>
        </w:tc>
        <w:tc>
          <w:tcPr>
            <w:tcW w:w="6808" w:type="dxa"/>
            <w:vAlign w:val="center"/>
          </w:tcPr>
          <w:p>
            <w:pPr>
              <w:adjustRightInd w:val="0"/>
              <w:snapToGrid w:val="0"/>
              <w:spacing w:line="360" w:lineRule="auto"/>
              <w:ind w:right="-21" w:rightChars="-10"/>
              <w:jc w:val="left"/>
              <w:rPr>
                <w:rFonts w:hAnsi="宋体"/>
                <w:color w:val="auto"/>
                <w:szCs w:val="21"/>
                <w:highlight w:val="none"/>
              </w:rPr>
            </w:pPr>
            <w:r>
              <w:rPr>
                <w:rFonts w:hint="eastAsia" w:hAnsi="宋体"/>
                <w:color w:val="auto"/>
                <w:szCs w:val="21"/>
                <w:highlight w:val="none"/>
              </w:rPr>
              <w:t>本项目资格审查方式采用</w:t>
            </w:r>
            <w:r>
              <w:rPr>
                <w:rFonts w:hint="eastAsia" w:hAnsi="宋体"/>
                <w:b/>
                <w:bCs/>
                <w:color w:val="auto"/>
                <w:szCs w:val="21"/>
                <w:highlight w:val="none"/>
              </w:rPr>
              <w:t>资格后审</w:t>
            </w:r>
          </w:p>
          <w:p>
            <w:pPr>
              <w:adjustRightInd w:val="0"/>
              <w:snapToGrid w:val="0"/>
              <w:spacing w:line="360" w:lineRule="auto"/>
              <w:ind w:right="-21" w:rightChars="-10"/>
              <w:jc w:val="left"/>
              <w:rPr>
                <w:rFonts w:hAnsi="宋体"/>
                <w:color w:val="auto"/>
                <w:szCs w:val="21"/>
                <w:highlight w:val="none"/>
              </w:rPr>
            </w:pPr>
            <w:r>
              <w:rPr>
                <w:rFonts w:ascii="宋体" w:hAnsi="宋体"/>
                <w:color w:val="auto"/>
                <w:sz w:val="22"/>
                <w:highlight w:val="none"/>
              </w:rPr>
              <w:sym w:font="Wingdings 2" w:char="F0A3"/>
            </w:r>
            <w:r>
              <w:rPr>
                <w:rFonts w:hint="eastAsia" w:hAnsi="宋体"/>
                <w:color w:val="auto"/>
                <w:szCs w:val="21"/>
                <w:highlight w:val="none"/>
              </w:rPr>
              <w:t xml:space="preserve">无   </w:t>
            </w:r>
            <w:r>
              <w:rPr>
                <w:rFonts w:ascii="宋体" w:hAnsi="宋体"/>
                <w:color w:val="auto"/>
                <w:sz w:val="22"/>
                <w:highlight w:val="none"/>
              </w:rPr>
              <w:sym w:font="Wingdings 2" w:char="F052"/>
            </w:r>
            <w:r>
              <w:rPr>
                <w:rFonts w:hint="eastAsia" w:hAnsi="宋体"/>
                <w:color w:val="auto"/>
                <w:szCs w:val="21"/>
                <w:highlight w:val="none"/>
              </w:rPr>
              <w:t>有，具体要求：</w:t>
            </w:r>
          </w:p>
          <w:p>
            <w:pPr>
              <w:adjustRightInd w:val="0"/>
              <w:snapToGrid w:val="0"/>
              <w:spacing w:line="360" w:lineRule="auto"/>
              <w:ind w:right="-21" w:rightChars="-10"/>
              <w:jc w:val="left"/>
              <w:rPr>
                <w:rFonts w:hAnsi="宋体"/>
                <w:color w:val="auto"/>
                <w:szCs w:val="21"/>
                <w:highlight w:val="none"/>
              </w:rPr>
            </w:pPr>
            <w:r>
              <w:rPr>
                <w:rFonts w:hint="eastAsia" w:hAnsi="宋体"/>
                <w:color w:val="auto"/>
                <w:szCs w:val="21"/>
                <w:highlight w:val="none"/>
              </w:rPr>
              <w:t>以下为实质性响应招标文件资料：</w:t>
            </w:r>
          </w:p>
          <w:p>
            <w:pPr>
              <w:adjustRightInd w:val="0"/>
              <w:snapToGrid w:val="0"/>
              <w:spacing w:line="360" w:lineRule="auto"/>
              <w:ind w:right="-21" w:rightChars="-10"/>
              <w:jc w:val="left"/>
              <w:rPr>
                <w:rFonts w:hAnsi="宋体"/>
                <w:color w:val="auto"/>
                <w:szCs w:val="21"/>
                <w:highlight w:val="none"/>
              </w:rPr>
            </w:pPr>
            <w:r>
              <w:rPr>
                <w:rFonts w:hint="eastAsia" w:hAnsi="宋体"/>
                <w:color w:val="auto"/>
                <w:szCs w:val="21"/>
                <w:highlight w:val="none"/>
              </w:rPr>
              <w:t>1、</w:t>
            </w:r>
            <w:r>
              <w:rPr>
                <w:rFonts w:hint="eastAsia" w:ascii="宋体" w:hAnsi="宋体" w:cs="宋体"/>
                <w:color w:val="auto"/>
                <w:szCs w:val="21"/>
                <w:highlight w:val="none"/>
              </w:rPr>
              <w:t>投标人具有独立法人资格，需提供营业执照作为证明材料</w:t>
            </w:r>
            <w:r>
              <w:rPr>
                <w:rFonts w:hint="eastAsia" w:hAnsi="宋体"/>
                <w:color w:val="auto"/>
                <w:szCs w:val="21"/>
                <w:highlight w:val="none"/>
              </w:rPr>
              <w:t>；</w:t>
            </w:r>
          </w:p>
          <w:p>
            <w:pPr>
              <w:adjustRightInd w:val="0"/>
              <w:snapToGrid w:val="0"/>
              <w:spacing w:line="360" w:lineRule="auto"/>
              <w:ind w:right="-21" w:rightChars="-10"/>
              <w:jc w:val="left"/>
              <w:rPr>
                <w:rFonts w:hAnsi="宋体"/>
                <w:color w:val="auto"/>
                <w:szCs w:val="21"/>
                <w:highlight w:val="none"/>
              </w:rPr>
            </w:pPr>
            <w:r>
              <w:rPr>
                <w:rFonts w:hint="eastAsia" w:hAnsi="宋体"/>
                <w:color w:val="auto"/>
                <w:szCs w:val="21"/>
                <w:highlight w:val="none"/>
              </w:rPr>
              <w:t>2、法定代表人身份证明或法定代表人授权委托书(投标文件由委托代理人签署（签字或盖章）时提供)；</w:t>
            </w:r>
          </w:p>
          <w:p>
            <w:pPr>
              <w:adjustRightInd w:val="0"/>
              <w:snapToGrid w:val="0"/>
              <w:spacing w:line="360" w:lineRule="auto"/>
              <w:ind w:right="-21" w:rightChars="-10"/>
              <w:jc w:val="left"/>
              <w:rPr>
                <w:rFonts w:hAnsi="宋体"/>
                <w:color w:val="auto"/>
                <w:szCs w:val="21"/>
                <w:highlight w:val="none"/>
              </w:rPr>
            </w:pPr>
            <w:r>
              <w:rPr>
                <w:rFonts w:hint="eastAsia" w:hAnsi="宋体"/>
                <w:color w:val="auto"/>
                <w:szCs w:val="21"/>
                <w:highlight w:val="none"/>
              </w:rPr>
              <w:t>3、一般纳税人资格证明(按招标公告资格条件要求提供)；</w:t>
            </w:r>
          </w:p>
          <w:p>
            <w:pPr>
              <w:adjustRightInd w:val="0"/>
              <w:snapToGrid w:val="0"/>
              <w:spacing w:line="360" w:lineRule="auto"/>
              <w:ind w:right="-21" w:rightChars="-10"/>
              <w:jc w:val="left"/>
              <w:rPr>
                <w:rFonts w:hAnsi="宋体"/>
                <w:color w:val="auto"/>
                <w:szCs w:val="21"/>
                <w:highlight w:val="none"/>
              </w:rPr>
            </w:pPr>
            <w:r>
              <w:rPr>
                <w:rFonts w:hint="eastAsia" w:hAnsi="宋体"/>
                <w:color w:val="auto"/>
                <w:szCs w:val="21"/>
                <w:highlight w:val="none"/>
              </w:rPr>
              <w:t>4、如代理商投标，需具有本次招标设备制造商的授权书（需提供授权书复印件并加盖投标人公章作为证明材料）。</w:t>
            </w:r>
          </w:p>
          <w:p>
            <w:pPr>
              <w:adjustRightInd w:val="0"/>
              <w:snapToGrid w:val="0"/>
              <w:spacing w:line="360" w:lineRule="auto"/>
              <w:ind w:right="-21" w:rightChars="-10"/>
              <w:jc w:val="left"/>
              <w:rPr>
                <w:rFonts w:hAnsi="宋体"/>
                <w:color w:val="auto"/>
                <w:szCs w:val="21"/>
                <w:highlight w:val="none"/>
                <w:lang w:eastAsia="zh-Hans"/>
              </w:rPr>
            </w:pPr>
            <w:r>
              <w:rPr>
                <w:rFonts w:hint="eastAsia" w:hAnsi="宋体"/>
                <w:color w:val="auto"/>
                <w:szCs w:val="21"/>
                <w:highlight w:val="none"/>
              </w:rPr>
              <w:t>以上涉及的证书(均应在有效期内，已在有效期外尚在办理延期过程中的视为无效)、业绩证明应在投标文件中附证明材料复制件，原件备查。如评标委员会要求核查原件时，投标人必须在评标委员会规定的时间内送达。若投标文件中未附上述资料复制件或未能在规定的时间内将要求的资料原件送到的，属招标文件实质性要求响应资料的，评标委员会将按相关证明资料缺少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20</w:t>
            </w:r>
          </w:p>
        </w:tc>
        <w:tc>
          <w:tcPr>
            <w:tcW w:w="1800" w:type="dxa"/>
            <w:vAlign w:val="center"/>
          </w:tcPr>
          <w:p>
            <w:pPr>
              <w:spacing w:line="360" w:lineRule="auto"/>
              <w:ind w:right="-21" w:rightChars="-10"/>
              <w:jc w:val="left"/>
              <w:rPr>
                <w:rStyle w:val="21"/>
                <w:color w:val="auto"/>
                <w:highlight w:val="none"/>
              </w:rPr>
            </w:pPr>
            <w:r>
              <w:rPr>
                <w:rStyle w:val="21"/>
                <w:rFonts w:hAnsi="宋体"/>
                <w:color w:val="auto"/>
                <w:highlight w:val="none"/>
              </w:rPr>
              <w:t>履约保证金</w:t>
            </w:r>
          </w:p>
        </w:tc>
        <w:tc>
          <w:tcPr>
            <w:tcW w:w="6808" w:type="dxa"/>
            <w:vAlign w:val="center"/>
          </w:tcPr>
          <w:p>
            <w:pPr>
              <w:spacing w:line="400" w:lineRule="exact"/>
              <w:rPr>
                <w:rFonts w:hAnsi="宋体"/>
                <w:color w:val="auto"/>
                <w:szCs w:val="21"/>
                <w:highlight w:val="none"/>
              </w:rPr>
            </w:pPr>
            <w:r>
              <w:rPr>
                <w:rFonts w:hint="eastAsia" w:hAnsi="宋体"/>
                <w:color w:val="auto"/>
                <w:szCs w:val="21"/>
                <w:highlight w:val="none"/>
              </w:rPr>
              <w:t>是否要求中标人提交履约保证金：</w:t>
            </w:r>
          </w:p>
          <w:p>
            <w:pPr>
              <w:spacing w:line="400" w:lineRule="exact"/>
              <w:rPr>
                <w:rFonts w:hAnsi="宋体"/>
                <w:color w:val="auto"/>
                <w:szCs w:val="21"/>
                <w:highlight w:val="none"/>
              </w:rPr>
            </w:pPr>
            <w:r>
              <w:rPr>
                <w:rFonts w:ascii="宋体" w:hAnsi="宋体"/>
                <w:color w:val="auto"/>
                <w:sz w:val="22"/>
                <w:highlight w:val="none"/>
              </w:rPr>
              <w:sym w:font="Wingdings 2" w:char="F052"/>
            </w:r>
            <w:r>
              <w:rPr>
                <w:rFonts w:hint="eastAsia" w:hAnsi="宋体"/>
                <w:color w:val="auto"/>
                <w:szCs w:val="21"/>
                <w:highlight w:val="none"/>
              </w:rPr>
              <w:t>要求，履约保证金的金额：</w:t>
            </w:r>
            <w:r>
              <w:rPr>
                <w:rFonts w:hint="eastAsia" w:hAnsi="宋体"/>
                <w:color w:val="auto"/>
                <w:szCs w:val="21"/>
                <w:highlight w:val="none"/>
                <w:u w:val="single"/>
              </w:rPr>
              <w:t>合同条款执行</w:t>
            </w:r>
            <w:r>
              <w:rPr>
                <w:rFonts w:hint="eastAsia" w:hAnsi="宋体"/>
                <w:color w:val="auto"/>
                <w:szCs w:val="21"/>
                <w:highlight w:val="none"/>
              </w:rPr>
              <w:t xml:space="preserve"> 。</w:t>
            </w:r>
          </w:p>
          <w:p>
            <w:pPr>
              <w:spacing w:line="400" w:lineRule="exact"/>
              <w:rPr>
                <w:rFonts w:hAnsi="宋体"/>
                <w:color w:val="auto"/>
                <w:szCs w:val="21"/>
                <w:highlight w:val="none"/>
              </w:rPr>
            </w:pPr>
            <w:r>
              <w:rPr>
                <w:rFonts w:hint="eastAsia" w:hAnsi="宋体"/>
                <w:color w:val="auto"/>
                <w:szCs w:val="21"/>
                <w:highlight w:val="none"/>
              </w:rPr>
              <w:t>履约保证金的形式和缴纳时限：按合同条款执行。</w:t>
            </w:r>
          </w:p>
          <w:p>
            <w:pPr>
              <w:spacing w:line="360" w:lineRule="auto"/>
              <w:ind w:right="-21" w:rightChars="-10"/>
              <w:jc w:val="left"/>
              <w:rPr>
                <w:rStyle w:val="21"/>
                <w:color w:val="auto"/>
                <w:highlight w:val="none"/>
              </w:rPr>
            </w:pPr>
            <w:r>
              <w:rPr>
                <w:rFonts w:ascii="宋体" w:hAnsi="宋体"/>
                <w:color w:val="auto"/>
                <w:sz w:val="22"/>
                <w:highlight w:val="none"/>
              </w:rPr>
              <w:sym w:font="Wingdings 2" w:char="00A3"/>
            </w:r>
            <w:r>
              <w:rPr>
                <w:rFonts w:hint="eastAsia" w:hAnsi="宋体"/>
                <w:color w:val="auto"/>
                <w:szCs w:val="21"/>
                <w:highlight w:val="none"/>
              </w:rPr>
              <w:t xml:space="preserve">不要求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21</w:t>
            </w:r>
          </w:p>
        </w:tc>
        <w:tc>
          <w:tcPr>
            <w:tcW w:w="1800" w:type="dxa"/>
            <w:vAlign w:val="center"/>
          </w:tcPr>
          <w:p>
            <w:pPr>
              <w:spacing w:line="360" w:lineRule="auto"/>
              <w:jc w:val="left"/>
              <w:rPr>
                <w:color w:val="auto"/>
                <w:szCs w:val="21"/>
                <w:highlight w:val="none"/>
              </w:rPr>
            </w:pPr>
            <w:r>
              <w:rPr>
                <w:rFonts w:hAnsi="宋体"/>
                <w:color w:val="auto"/>
                <w:szCs w:val="21"/>
                <w:highlight w:val="none"/>
              </w:rPr>
              <w:t>公告及公示网站</w:t>
            </w:r>
          </w:p>
        </w:tc>
        <w:tc>
          <w:tcPr>
            <w:tcW w:w="6808" w:type="dxa"/>
            <w:vAlign w:val="center"/>
          </w:tcPr>
          <w:p>
            <w:pPr>
              <w:spacing w:line="360" w:lineRule="auto"/>
              <w:rPr>
                <w:rFonts w:ascii="宋体" w:hAnsi="宋体" w:cs="宋体"/>
                <w:b/>
                <w:color w:val="auto"/>
                <w:szCs w:val="21"/>
                <w:highlight w:val="none"/>
                <w:u w:val="single"/>
              </w:rPr>
            </w:pPr>
            <w:r>
              <w:rPr>
                <w:rFonts w:hint="eastAsia" w:ascii="宋体" w:hAnsi="宋体" w:cs="宋体"/>
                <w:b/>
                <w:color w:val="auto"/>
                <w:szCs w:val="21"/>
                <w:highlight w:val="none"/>
                <w:u w:val="single"/>
              </w:rPr>
              <w:t>宁波市阳光采购服务平台（http://ygcg.nbcqjy.org/）；</w:t>
            </w:r>
          </w:p>
          <w:p>
            <w:pPr>
              <w:spacing w:line="360" w:lineRule="auto"/>
              <w:rPr>
                <w:rFonts w:ascii="宋体" w:hAnsi="宋体" w:cs="宋体"/>
                <w:b/>
                <w:color w:val="auto"/>
                <w:szCs w:val="21"/>
                <w:highlight w:val="none"/>
                <w:u w:val="single"/>
              </w:rPr>
            </w:pPr>
            <w:r>
              <w:rPr>
                <w:rFonts w:hint="eastAsia" w:ascii="宋体" w:hAnsi="宋体" w:cs="宋体"/>
                <w:b/>
                <w:color w:val="auto"/>
                <w:szCs w:val="21"/>
                <w:highlight w:val="none"/>
                <w:u w:val="single"/>
              </w:rPr>
              <w:t>宁波市人民政府国有资产监督管理委员会(http://gzw.ningbo. gov.cn/）；</w:t>
            </w:r>
          </w:p>
          <w:p>
            <w:pPr>
              <w:spacing w:line="360" w:lineRule="auto"/>
              <w:jc w:val="left"/>
              <w:rPr>
                <w:rFonts w:ascii="宋体" w:hAnsi="宋体" w:cs="宋体"/>
                <w:b/>
                <w:color w:val="auto"/>
                <w:szCs w:val="21"/>
                <w:highlight w:val="none"/>
                <w:u w:val="single"/>
              </w:rPr>
            </w:pPr>
            <w:r>
              <w:rPr>
                <w:rFonts w:hint="eastAsia" w:ascii="宋体" w:hAnsi="宋体" w:cs="宋体"/>
                <w:b/>
                <w:color w:val="auto"/>
                <w:szCs w:val="21"/>
                <w:highlight w:val="none"/>
                <w:u w:val="single"/>
              </w:rPr>
              <w:t>宁波公共资源交易电子服务系统（http://ggzy.zwb.ningbo.gov.cn）；</w:t>
            </w:r>
          </w:p>
          <w:p>
            <w:pPr>
              <w:spacing w:line="360" w:lineRule="auto"/>
              <w:rPr>
                <w:rFonts w:ascii="宋体" w:hAnsi="宋体" w:cs="宋体"/>
                <w:b/>
                <w:color w:val="auto"/>
                <w:szCs w:val="21"/>
                <w:highlight w:val="none"/>
                <w:u w:val="single"/>
              </w:rPr>
            </w:pPr>
            <w:r>
              <w:rPr>
                <w:rFonts w:hint="eastAsia" w:ascii="宋体" w:hAnsi="宋体" w:cs="宋体"/>
                <w:b/>
                <w:color w:val="auto"/>
                <w:szCs w:val="21"/>
                <w:highlight w:val="none"/>
                <w:u w:val="single"/>
              </w:rPr>
              <w:t>中国招标投标公共服务平台（http://www.cebpubservice.com/）；</w:t>
            </w:r>
          </w:p>
          <w:p>
            <w:pPr>
              <w:spacing w:line="360" w:lineRule="auto"/>
              <w:rPr>
                <w:rFonts w:ascii="宋体" w:hAnsi="宋体" w:cs="宋体"/>
                <w:b/>
                <w:color w:val="auto"/>
                <w:szCs w:val="21"/>
                <w:highlight w:val="none"/>
                <w:u w:val="single"/>
              </w:rPr>
            </w:pPr>
            <w:r>
              <w:rPr>
                <w:rFonts w:hint="eastAsia" w:ascii="宋体" w:hAnsi="宋体" w:cs="宋体"/>
                <w:b/>
                <w:color w:val="auto"/>
                <w:szCs w:val="21"/>
                <w:highlight w:val="none"/>
                <w:u w:val="single"/>
              </w:rPr>
              <w:t>宁波栎社国际机场官网（https://www.nbairport.com/）；</w:t>
            </w:r>
          </w:p>
          <w:p>
            <w:pPr>
              <w:spacing w:line="360" w:lineRule="auto"/>
              <w:rPr>
                <w:color w:val="auto"/>
                <w:szCs w:val="21"/>
                <w:highlight w:val="none"/>
              </w:rPr>
            </w:pPr>
            <w:r>
              <w:rPr>
                <w:rFonts w:hint="eastAsia" w:ascii="宋体" w:hAnsi="宋体" w:cs="宋体"/>
                <w:b/>
                <w:color w:val="auto"/>
                <w:szCs w:val="21"/>
                <w:highlight w:val="none"/>
                <w:u w:val="single"/>
              </w:rPr>
              <w:t>宁波正吉工程管理咨询有限公司官网（http://www.nbzjzj.com/）。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48" w:type="dxa"/>
            <w:vAlign w:val="center"/>
          </w:tcPr>
          <w:p>
            <w:pPr>
              <w:pStyle w:val="9"/>
              <w:spacing w:line="400" w:lineRule="exact"/>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22</w:t>
            </w:r>
          </w:p>
        </w:tc>
        <w:tc>
          <w:tcPr>
            <w:tcW w:w="1800" w:type="dxa"/>
            <w:vAlign w:val="center"/>
          </w:tcPr>
          <w:p>
            <w:pPr>
              <w:spacing w:line="400" w:lineRule="exact"/>
              <w:jc w:val="left"/>
              <w:rPr>
                <w:rFonts w:hAnsi="宋体"/>
                <w:color w:val="auto"/>
                <w:szCs w:val="21"/>
                <w:highlight w:val="none"/>
              </w:rPr>
            </w:pPr>
            <w:r>
              <w:rPr>
                <w:rStyle w:val="21"/>
                <w:rFonts w:hint="eastAsia" w:hAnsi="宋体"/>
                <w:color w:val="auto"/>
                <w:highlight w:val="none"/>
              </w:rPr>
              <w:t>是否采用电子招标投标</w:t>
            </w:r>
          </w:p>
        </w:tc>
        <w:tc>
          <w:tcPr>
            <w:tcW w:w="6808" w:type="dxa"/>
            <w:vAlign w:val="center"/>
          </w:tcPr>
          <w:p>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否</w:t>
            </w:r>
          </w:p>
          <w:p>
            <w:pPr>
              <w:snapToGrid w:val="0"/>
              <w:spacing w:line="400" w:lineRule="exact"/>
              <w:jc w:val="left"/>
              <w:textAlignment w:val="bottom"/>
              <w:rPr>
                <w:rFonts w:hAnsi="宋体"/>
                <w:color w:val="auto"/>
                <w:szCs w:val="21"/>
                <w:highlight w:val="none"/>
              </w:rPr>
            </w:pPr>
            <w:r>
              <w:rPr>
                <w:rFonts w:ascii="Segoe UI Symbol" w:hAnsi="Segoe UI Symbol" w:cs="Segoe UI Symbol"/>
                <w:color w:val="auto"/>
                <w:szCs w:val="21"/>
                <w:highlight w:val="none"/>
              </w:rPr>
              <w:t>☐</w:t>
            </w:r>
            <w:r>
              <w:rPr>
                <w:rFonts w:hint="eastAsia" w:ascii="宋体" w:hAnsi="宋体" w:cs="宋体"/>
                <w:color w:val="auto"/>
                <w:szCs w:val="21"/>
                <w:highlight w:val="none"/>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48" w:type="dxa"/>
            <w:vAlign w:val="center"/>
          </w:tcPr>
          <w:p>
            <w:pPr>
              <w:pStyle w:val="9"/>
              <w:spacing w:line="360" w:lineRule="auto"/>
              <w:ind w:firstLine="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23</w:t>
            </w:r>
          </w:p>
        </w:tc>
        <w:tc>
          <w:tcPr>
            <w:tcW w:w="1800" w:type="dxa"/>
            <w:vAlign w:val="center"/>
          </w:tcPr>
          <w:p>
            <w:pPr>
              <w:spacing w:line="360" w:lineRule="auto"/>
              <w:ind w:right="-21" w:rightChars="-10"/>
              <w:jc w:val="left"/>
              <w:rPr>
                <w:rStyle w:val="21"/>
                <w:color w:val="auto"/>
                <w:highlight w:val="none"/>
              </w:rPr>
            </w:pPr>
            <w:r>
              <w:rPr>
                <w:rStyle w:val="21"/>
                <w:rFonts w:hAnsi="宋体"/>
                <w:color w:val="auto"/>
                <w:highlight w:val="none"/>
              </w:rPr>
              <w:t>注意事项</w:t>
            </w:r>
          </w:p>
        </w:tc>
        <w:tc>
          <w:tcPr>
            <w:tcW w:w="6808" w:type="dxa"/>
            <w:vAlign w:val="center"/>
          </w:tcPr>
          <w:p>
            <w:pPr>
              <w:spacing w:line="360" w:lineRule="auto"/>
              <w:ind w:right="-21" w:rightChars="-10"/>
              <w:jc w:val="left"/>
              <w:rPr>
                <w:rStyle w:val="21"/>
                <w:b/>
                <w:bCs/>
                <w:color w:val="auto"/>
                <w:kern w:val="0"/>
                <w:highlight w:val="none"/>
              </w:rPr>
            </w:pPr>
            <w:r>
              <w:rPr>
                <w:rStyle w:val="21"/>
                <w:b/>
                <w:bCs/>
                <w:color w:val="auto"/>
                <w:kern w:val="0"/>
                <w:highlight w:val="none"/>
              </w:rPr>
              <w:t>（1）投标人的法定代表人或其委托代理人</w:t>
            </w:r>
            <w:r>
              <w:rPr>
                <w:rStyle w:val="21"/>
                <w:rFonts w:hint="eastAsia"/>
                <w:b/>
                <w:bCs/>
                <w:color w:val="auto"/>
                <w:kern w:val="0"/>
                <w:highlight w:val="none"/>
              </w:rPr>
              <w:t>无需</w:t>
            </w:r>
            <w:r>
              <w:rPr>
                <w:rStyle w:val="21"/>
                <w:b/>
                <w:bCs/>
                <w:color w:val="auto"/>
                <w:kern w:val="0"/>
                <w:highlight w:val="none"/>
              </w:rPr>
              <w:t>出席开标</w:t>
            </w:r>
            <w:r>
              <w:rPr>
                <w:rStyle w:val="21"/>
                <w:rFonts w:hint="eastAsia"/>
                <w:b/>
                <w:bCs/>
                <w:color w:val="auto"/>
                <w:kern w:val="0"/>
                <w:highlight w:val="none"/>
              </w:rPr>
              <w:t>会议</w:t>
            </w:r>
            <w:r>
              <w:rPr>
                <w:rStyle w:val="21"/>
                <w:b/>
                <w:bCs/>
                <w:color w:val="auto"/>
                <w:kern w:val="0"/>
                <w:highlight w:val="none"/>
              </w:rPr>
              <w:t>。</w:t>
            </w:r>
          </w:p>
          <w:p>
            <w:pPr>
              <w:spacing w:line="360" w:lineRule="auto"/>
              <w:ind w:right="-21" w:rightChars="-10"/>
              <w:jc w:val="left"/>
              <w:rPr>
                <w:rStyle w:val="21"/>
                <w:b/>
                <w:bCs/>
                <w:color w:val="auto"/>
                <w:highlight w:val="none"/>
              </w:rPr>
            </w:pPr>
            <w:r>
              <w:rPr>
                <w:rStyle w:val="21"/>
                <w:rFonts w:hAnsi="宋体"/>
                <w:b/>
                <w:bCs/>
                <w:color w:val="auto"/>
                <w:kern w:val="0"/>
                <w:highlight w:val="none"/>
              </w:rPr>
              <w:t>（2）本项目将通过网络直播形式开标，投标人可下载“腾讯会议”软件进入会议室观看（会议号将在投标截止</w:t>
            </w:r>
            <w:r>
              <w:rPr>
                <w:rStyle w:val="21"/>
                <w:rFonts w:hint="eastAsia" w:hAnsi="宋体"/>
                <w:b/>
                <w:bCs/>
                <w:color w:val="auto"/>
                <w:kern w:val="0"/>
                <w:highlight w:val="none"/>
              </w:rPr>
              <w:t>时间</w:t>
            </w:r>
            <w:r>
              <w:rPr>
                <w:rStyle w:val="21"/>
                <w:rFonts w:hAnsi="宋体"/>
                <w:b/>
                <w:bCs/>
                <w:color w:val="auto"/>
                <w:kern w:val="0"/>
                <w:highlight w:val="none"/>
              </w:rPr>
              <w:t>前发至投标人获取招标文件时预留的邮箱）；开标</w:t>
            </w:r>
            <w:r>
              <w:rPr>
                <w:rStyle w:val="21"/>
                <w:rFonts w:hint="eastAsia" w:hAnsi="宋体"/>
                <w:b/>
                <w:bCs/>
                <w:color w:val="auto"/>
                <w:kern w:val="0"/>
                <w:highlight w:val="none"/>
              </w:rPr>
              <w:t>时</w:t>
            </w:r>
            <w:r>
              <w:rPr>
                <w:rStyle w:val="21"/>
                <w:rFonts w:hAnsi="宋体"/>
                <w:b/>
                <w:bCs/>
                <w:color w:val="auto"/>
                <w:kern w:val="0"/>
                <w:highlight w:val="none"/>
              </w:rPr>
              <w:t>请全程静音，如无法观看或对开标有异议的，请在聊天对话框</w:t>
            </w:r>
            <w:r>
              <w:rPr>
                <w:rStyle w:val="21"/>
                <w:rFonts w:hint="eastAsia" w:hAnsi="宋体"/>
                <w:b/>
                <w:bCs/>
                <w:color w:val="auto"/>
                <w:kern w:val="0"/>
                <w:highlight w:val="none"/>
              </w:rPr>
              <w:t>以文字形式</w:t>
            </w:r>
            <w:r>
              <w:rPr>
                <w:rStyle w:val="21"/>
                <w:rFonts w:hAnsi="宋体"/>
                <w:b/>
                <w:bCs/>
                <w:color w:val="auto"/>
                <w:kern w:val="0"/>
                <w:highlight w:val="none"/>
              </w:rPr>
              <w:t>提出。</w:t>
            </w:r>
          </w:p>
          <w:p>
            <w:pPr>
              <w:spacing w:line="360" w:lineRule="auto"/>
              <w:ind w:right="-21" w:rightChars="-10"/>
              <w:jc w:val="left"/>
              <w:rPr>
                <w:rStyle w:val="21"/>
                <w:b/>
                <w:bCs/>
                <w:color w:val="auto"/>
                <w:highlight w:val="none"/>
              </w:rPr>
            </w:pPr>
            <w:r>
              <w:rPr>
                <w:rStyle w:val="21"/>
                <w:rFonts w:hAnsi="宋体"/>
                <w:b/>
                <w:bCs/>
                <w:color w:val="auto"/>
                <w:kern w:val="0"/>
                <w:highlight w:val="none"/>
              </w:rPr>
              <w:t>（</w:t>
            </w:r>
            <w:r>
              <w:rPr>
                <w:rStyle w:val="21"/>
                <w:rFonts w:hint="eastAsia" w:hAnsi="宋体"/>
                <w:b/>
                <w:bCs/>
                <w:color w:val="auto"/>
                <w:kern w:val="0"/>
                <w:highlight w:val="none"/>
              </w:rPr>
              <w:t>3</w:t>
            </w:r>
            <w:r>
              <w:rPr>
                <w:rStyle w:val="21"/>
                <w:rFonts w:hAnsi="宋体"/>
                <w:b/>
                <w:bCs/>
                <w:color w:val="auto"/>
                <w:kern w:val="0"/>
                <w:highlight w:val="none"/>
              </w:rPr>
              <w:t>）投标人如果发现本招标文件中存在含糊不清、相互矛盾、多种含义以及歧视性不公正条款或违法违规等内容时，请在招标文件答疑时间内以书面形式同时向招标人、招标代理反映，逾期不得再对招标文件提出质疑。</w:t>
            </w:r>
          </w:p>
          <w:p>
            <w:pPr>
              <w:adjustRightInd w:val="0"/>
              <w:snapToGrid w:val="0"/>
              <w:spacing w:line="360" w:lineRule="auto"/>
              <w:ind w:right="-21" w:rightChars="-10"/>
              <w:jc w:val="left"/>
              <w:rPr>
                <w:rStyle w:val="21"/>
                <w:rFonts w:hAnsi="宋体"/>
                <w:b/>
                <w:bCs/>
                <w:color w:val="auto"/>
                <w:highlight w:val="none"/>
              </w:rPr>
            </w:pPr>
            <w:r>
              <w:rPr>
                <w:rStyle w:val="21"/>
                <w:rFonts w:hint="eastAsia" w:hAnsi="宋体"/>
                <w:b/>
                <w:bCs/>
                <w:color w:val="auto"/>
                <w:kern w:val="0"/>
                <w:highlight w:val="none"/>
              </w:rPr>
              <w:t>（4）投标人通过弄虚作假、串通投标、行贿等行为获取中标资格的，中标无效，已经签订合同的，合同无效。</w:t>
            </w:r>
          </w:p>
          <w:p>
            <w:pPr>
              <w:adjustRightInd w:val="0"/>
              <w:snapToGrid w:val="0"/>
              <w:spacing w:line="360" w:lineRule="auto"/>
              <w:ind w:right="-21" w:rightChars="-10"/>
              <w:jc w:val="left"/>
              <w:rPr>
                <w:color w:val="auto"/>
                <w:szCs w:val="21"/>
                <w:highlight w:val="none"/>
              </w:rPr>
            </w:pPr>
            <w:r>
              <w:rPr>
                <w:rStyle w:val="21"/>
                <w:rFonts w:hAnsi="宋体"/>
                <w:b/>
                <w:bCs/>
                <w:color w:val="auto"/>
                <w:kern w:val="0"/>
                <w:highlight w:val="none"/>
              </w:rPr>
              <w:t>（</w:t>
            </w:r>
            <w:r>
              <w:rPr>
                <w:rStyle w:val="21"/>
                <w:rFonts w:hint="eastAsia" w:hAnsi="宋体"/>
                <w:b/>
                <w:bCs/>
                <w:color w:val="auto"/>
                <w:kern w:val="0"/>
                <w:highlight w:val="none"/>
              </w:rPr>
              <w:t>5</w:t>
            </w:r>
            <w:r>
              <w:rPr>
                <w:rStyle w:val="21"/>
                <w:rFonts w:hAnsi="宋体"/>
                <w:b/>
                <w:bCs/>
                <w:color w:val="auto"/>
                <w:kern w:val="0"/>
                <w:highlight w:val="none"/>
              </w:rPr>
              <w:t>）</w:t>
            </w:r>
            <w:r>
              <w:rPr>
                <w:rStyle w:val="21"/>
                <w:rFonts w:hAnsi="宋体"/>
                <w:b/>
                <w:bCs/>
                <w:color w:val="auto"/>
                <w:highlight w:val="none"/>
              </w:rPr>
              <w:t>本表是对投标人须知的具体补充和修改，如有矛盾，应以本表为准</w:t>
            </w:r>
            <w:r>
              <w:rPr>
                <w:rStyle w:val="21"/>
                <w:rFonts w:hAnsi="宋体"/>
                <w:b/>
                <w:bCs/>
                <w:color w:val="auto"/>
                <w:kern w:val="0"/>
                <w:highlight w:val="none"/>
              </w:rPr>
              <w:t>。</w:t>
            </w:r>
          </w:p>
        </w:tc>
      </w:tr>
    </w:tbl>
    <w:p>
      <w:pPr>
        <w:spacing w:line="360" w:lineRule="auto"/>
        <w:ind w:firstLine="420" w:firstLineChars="200"/>
        <w:jc w:val="left"/>
        <w:rPr>
          <w:color w:val="auto"/>
          <w:sz w:val="24"/>
          <w:highlight w:val="none"/>
        </w:rPr>
        <w:sectPr>
          <w:footerReference r:id="rId7" w:type="default"/>
          <w:pgSz w:w="11906" w:h="16838"/>
          <w:pgMar w:top="1440" w:right="1800" w:bottom="1440" w:left="1800" w:header="851" w:footer="992" w:gutter="0"/>
          <w:pgNumType w:start="1"/>
          <w:cols w:space="720" w:num="1"/>
          <w:docGrid w:type="linesAndChars" w:linePitch="312" w:charSpace="0"/>
        </w:sectPr>
      </w:pPr>
      <w:r>
        <w:rPr>
          <w:rFonts w:hAnsi="宋体"/>
          <w:b/>
          <w:color w:val="auto"/>
          <w:szCs w:val="21"/>
          <w:highlight w:val="none"/>
        </w:rPr>
        <w:t>注：以上内容如有变化将另行通知，如通知其中某一内容发生变化，其余未提及的将不作变动。本招标文件未尽事宜按现行国家、省市的相关法规、规定执行。</w:t>
      </w:r>
    </w:p>
    <w:p>
      <w:pPr>
        <w:spacing w:line="360" w:lineRule="auto"/>
        <w:jc w:val="center"/>
        <w:rPr>
          <w:b/>
          <w:color w:val="auto"/>
          <w:sz w:val="36"/>
          <w:szCs w:val="36"/>
          <w:highlight w:val="none"/>
        </w:rPr>
      </w:pPr>
      <w:r>
        <w:rPr>
          <w:rFonts w:hAnsi="宋体"/>
          <w:b/>
          <w:color w:val="auto"/>
          <w:sz w:val="36"/>
          <w:szCs w:val="36"/>
          <w:highlight w:val="none"/>
        </w:rPr>
        <w:t>投标人须知</w:t>
      </w:r>
    </w:p>
    <w:p>
      <w:pPr>
        <w:spacing w:line="360" w:lineRule="auto"/>
        <w:jc w:val="center"/>
        <w:outlineLvl w:val="0"/>
        <w:rPr>
          <w:b/>
          <w:color w:val="auto"/>
          <w:szCs w:val="21"/>
          <w:highlight w:val="none"/>
        </w:rPr>
      </w:pPr>
      <w:r>
        <w:rPr>
          <w:rFonts w:hAnsi="宋体"/>
          <w:b/>
          <w:color w:val="auto"/>
          <w:szCs w:val="21"/>
          <w:highlight w:val="none"/>
        </w:rPr>
        <w:t>（一）总</w:t>
      </w:r>
      <w:r>
        <w:rPr>
          <w:b/>
          <w:color w:val="auto"/>
          <w:szCs w:val="21"/>
          <w:highlight w:val="none"/>
        </w:rPr>
        <w:t xml:space="preserve"> </w:t>
      </w:r>
      <w:r>
        <w:rPr>
          <w:rFonts w:hAnsi="宋体"/>
          <w:b/>
          <w:color w:val="auto"/>
          <w:szCs w:val="21"/>
          <w:highlight w:val="none"/>
        </w:rPr>
        <w:t>则</w:t>
      </w:r>
    </w:p>
    <w:p>
      <w:pPr>
        <w:spacing w:line="360" w:lineRule="auto"/>
        <w:jc w:val="left"/>
        <w:rPr>
          <w:b/>
          <w:color w:val="auto"/>
          <w:szCs w:val="21"/>
          <w:highlight w:val="none"/>
        </w:rPr>
      </w:pPr>
      <w:r>
        <w:rPr>
          <w:b/>
          <w:color w:val="auto"/>
          <w:szCs w:val="21"/>
          <w:highlight w:val="none"/>
        </w:rPr>
        <w:t>1.</w:t>
      </w:r>
      <w:r>
        <w:rPr>
          <w:rFonts w:hAnsi="宋体"/>
          <w:b/>
          <w:color w:val="auto"/>
          <w:szCs w:val="21"/>
          <w:highlight w:val="none"/>
        </w:rPr>
        <w:t>适用范围</w:t>
      </w:r>
    </w:p>
    <w:p>
      <w:pPr>
        <w:tabs>
          <w:tab w:val="left" w:pos="6810"/>
        </w:tabs>
        <w:spacing w:line="360" w:lineRule="auto"/>
        <w:ind w:firstLine="422" w:firstLineChars="200"/>
        <w:jc w:val="left"/>
        <w:rPr>
          <w:color w:val="auto"/>
          <w:szCs w:val="21"/>
          <w:highlight w:val="none"/>
        </w:rPr>
      </w:pPr>
      <w:r>
        <w:rPr>
          <w:b/>
          <w:color w:val="auto"/>
          <w:szCs w:val="21"/>
          <w:highlight w:val="none"/>
        </w:rPr>
        <w:t>1.1</w:t>
      </w:r>
      <w:r>
        <w:rPr>
          <w:rFonts w:hAnsi="宋体"/>
          <w:color w:val="auto"/>
          <w:szCs w:val="21"/>
          <w:highlight w:val="none"/>
        </w:rPr>
        <w:t>为了选择经验丰富、报价合理、资信业绩良好的投标单位，根据《中华人民共和国招标投标法》等法律法规，本着公开、公平、公正的原则制定本招标文件。</w:t>
      </w:r>
    </w:p>
    <w:p>
      <w:pPr>
        <w:spacing w:line="360" w:lineRule="auto"/>
        <w:ind w:firstLine="422" w:firstLineChars="200"/>
        <w:jc w:val="left"/>
        <w:rPr>
          <w:color w:val="auto"/>
          <w:szCs w:val="21"/>
          <w:highlight w:val="none"/>
        </w:rPr>
      </w:pPr>
      <w:r>
        <w:rPr>
          <w:b/>
          <w:color w:val="auto"/>
          <w:szCs w:val="21"/>
          <w:highlight w:val="none"/>
        </w:rPr>
        <w:t>1.2</w:t>
      </w:r>
      <w:r>
        <w:rPr>
          <w:rFonts w:hAnsi="宋体"/>
          <w:color w:val="auto"/>
          <w:szCs w:val="21"/>
          <w:highlight w:val="none"/>
        </w:rPr>
        <w:t>本招标文件仅适用于</w:t>
      </w:r>
      <w:r>
        <w:rPr>
          <w:color w:val="auto"/>
          <w:szCs w:val="21"/>
          <w:highlight w:val="none"/>
        </w:rPr>
        <w:t>“</w:t>
      </w:r>
      <w:r>
        <w:rPr>
          <w:rFonts w:hAnsi="宋体"/>
          <w:color w:val="auto"/>
          <w:szCs w:val="21"/>
          <w:highlight w:val="none"/>
        </w:rPr>
        <w:t>投标人须知前附表</w:t>
      </w:r>
      <w:r>
        <w:rPr>
          <w:color w:val="auto"/>
          <w:szCs w:val="21"/>
          <w:highlight w:val="none"/>
        </w:rPr>
        <w:t>”</w:t>
      </w:r>
      <w:r>
        <w:rPr>
          <w:rFonts w:hAnsi="宋体"/>
          <w:color w:val="auto"/>
          <w:szCs w:val="21"/>
          <w:highlight w:val="none"/>
        </w:rPr>
        <w:t>（以下简称</w:t>
      </w:r>
      <w:r>
        <w:rPr>
          <w:color w:val="auto"/>
          <w:szCs w:val="21"/>
          <w:highlight w:val="none"/>
        </w:rPr>
        <w:t>“</w:t>
      </w:r>
      <w:r>
        <w:rPr>
          <w:rFonts w:hAnsi="宋体"/>
          <w:color w:val="auto"/>
          <w:szCs w:val="21"/>
          <w:highlight w:val="none"/>
        </w:rPr>
        <w:t>前附表</w:t>
      </w:r>
      <w:r>
        <w:rPr>
          <w:color w:val="auto"/>
          <w:szCs w:val="21"/>
          <w:highlight w:val="none"/>
        </w:rPr>
        <w:t>”</w:t>
      </w:r>
      <w:r>
        <w:rPr>
          <w:rFonts w:hAnsi="宋体"/>
          <w:color w:val="auto"/>
          <w:szCs w:val="21"/>
          <w:highlight w:val="none"/>
        </w:rPr>
        <w:t>）所列的招标。</w:t>
      </w:r>
    </w:p>
    <w:p>
      <w:pPr>
        <w:spacing w:line="360" w:lineRule="auto"/>
        <w:jc w:val="left"/>
        <w:rPr>
          <w:b/>
          <w:color w:val="auto"/>
          <w:szCs w:val="21"/>
          <w:highlight w:val="none"/>
        </w:rPr>
      </w:pPr>
      <w:r>
        <w:rPr>
          <w:b/>
          <w:color w:val="auto"/>
          <w:szCs w:val="21"/>
          <w:highlight w:val="none"/>
        </w:rPr>
        <w:t>2.</w:t>
      </w:r>
      <w:r>
        <w:rPr>
          <w:rFonts w:hAnsi="宋体"/>
          <w:b/>
          <w:color w:val="auto"/>
          <w:szCs w:val="21"/>
          <w:highlight w:val="none"/>
        </w:rPr>
        <w:t>定义</w:t>
      </w:r>
    </w:p>
    <w:p>
      <w:pPr>
        <w:spacing w:line="360" w:lineRule="auto"/>
        <w:ind w:firstLine="422" w:firstLineChars="200"/>
        <w:jc w:val="left"/>
        <w:rPr>
          <w:color w:val="auto"/>
          <w:szCs w:val="21"/>
          <w:highlight w:val="none"/>
        </w:rPr>
      </w:pPr>
      <w:r>
        <w:rPr>
          <w:b/>
          <w:color w:val="auto"/>
          <w:szCs w:val="21"/>
          <w:highlight w:val="none"/>
        </w:rPr>
        <w:t>2.1</w:t>
      </w:r>
      <w:r>
        <w:rPr>
          <w:color w:val="auto"/>
          <w:szCs w:val="21"/>
          <w:highlight w:val="none"/>
        </w:rPr>
        <w:t>“</w:t>
      </w:r>
      <w:r>
        <w:rPr>
          <w:rFonts w:hAnsi="宋体"/>
          <w:color w:val="auto"/>
          <w:szCs w:val="21"/>
          <w:highlight w:val="none"/>
        </w:rPr>
        <w:t>招标人</w:t>
      </w:r>
      <w:r>
        <w:rPr>
          <w:color w:val="auto"/>
          <w:szCs w:val="21"/>
          <w:highlight w:val="none"/>
        </w:rPr>
        <w:t>”</w:t>
      </w:r>
      <w:r>
        <w:rPr>
          <w:rFonts w:hAnsi="宋体"/>
          <w:color w:val="auto"/>
          <w:szCs w:val="21"/>
          <w:highlight w:val="none"/>
        </w:rPr>
        <w:t>系指宁波机场集团有限公司。</w:t>
      </w:r>
      <w:r>
        <w:rPr>
          <w:color w:val="auto"/>
          <w:szCs w:val="21"/>
          <w:highlight w:val="none"/>
        </w:rPr>
        <w:t xml:space="preserve"> </w:t>
      </w:r>
    </w:p>
    <w:p>
      <w:pPr>
        <w:spacing w:line="360" w:lineRule="auto"/>
        <w:ind w:firstLine="422" w:firstLineChars="200"/>
        <w:jc w:val="left"/>
        <w:rPr>
          <w:color w:val="auto"/>
          <w:szCs w:val="21"/>
          <w:highlight w:val="none"/>
          <w:u w:val="single"/>
        </w:rPr>
      </w:pPr>
      <w:r>
        <w:rPr>
          <w:b/>
          <w:color w:val="auto"/>
          <w:szCs w:val="21"/>
          <w:highlight w:val="none"/>
        </w:rPr>
        <w:t>2.2</w:t>
      </w:r>
      <w:r>
        <w:rPr>
          <w:color w:val="auto"/>
          <w:szCs w:val="21"/>
          <w:highlight w:val="none"/>
        </w:rPr>
        <w:t>“</w:t>
      </w:r>
      <w:r>
        <w:rPr>
          <w:rFonts w:hAnsi="宋体"/>
          <w:color w:val="auto"/>
          <w:szCs w:val="21"/>
          <w:highlight w:val="none"/>
        </w:rPr>
        <w:t>招标代理</w:t>
      </w:r>
      <w:r>
        <w:rPr>
          <w:color w:val="auto"/>
          <w:szCs w:val="21"/>
          <w:highlight w:val="none"/>
        </w:rPr>
        <w:t>”</w:t>
      </w:r>
      <w:r>
        <w:rPr>
          <w:rFonts w:hAnsi="宋体"/>
          <w:color w:val="auto"/>
          <w:szCs w:val="21"/>
          <w:highlight w:val="none"/>
        </w:rPr>
        <w:t>系指</w:t>
      </w:r>
      <w:r>
        <w:rPr>
          <w:rFonts w:hint="eastAsia" w:hAnsi="宋体"/>
          <w:color w:val="auto"/>
          <w:szCs w:val="21"/>
          <w:highlight w:val="none"/>
          <w:u w:val="single"/>
        </w:rPr>
        <w:t>宁波正吉工程管理咨询有限公司</w:t>
      </w:r>
    </w:p>
    <w:p>
      <w:pPr>
        <w:spacing w:line="360" w:lineRule="auto"/>
        <w:ind w:firstLine="422" w:firstLineChars="200"/>
        <w:jc w:val="left"/>
        <w:rPr>
          <w:color w:val="auto"/>
          <w:szCs w:val="21"/>
          <w:highlight w:val="none"/>
          <w:u w:val="single"/>
        </w:rPr>
      </w:pPr>
      <w:r>
        <w:rPr>
          <w:b/>
          <w:color w:val="auto"/>
          <w:szCs w:val="21"/>
          <w:highlight w:val="none"/>
        </w:rPr>
        <w:t>2.3</w:t>
      </w:r>
      <w:r>
        <w:rPr>
          <w:color w:val="auto"/>
          <w:szCs w:val="21"/>
          <w:highlight w:val="none"/>
        </w:rPr>
        <w:t>“</w:t>
      </w:r>
      <w:r>
        <w:rPr>
          <w:rFonts w:hAnsi="宋体"/>
          <w:color w:val="auto"/>
          <w:szCs w:val="21"/>
          <w:highlight w:val="none"/>
        </w:rPr>
        <w:t>投标人</w:t>
      </w:r>
      <w:r>
        <w:rPr>
          <w:color w:val="auto"/>
          <w:szCs w:val="21"/>
          <w:highlight w:val="none"/>
        </w:rPr>
        <w:t>”</w:t>
      </w:r>
      <w:r>
        <w:rPr>
          <w:rFonts w:hAnsi="宋体"/>
          <w:color w:val="auto"/>
          <w:szCs w:val="21"/>
          <w:highlight w:val="none"/>
        </w:rPr>
        <w:t>系指购买招标文件参加投标的投标单位。</w:t>
      </w:r>
    </w:p>
    <w:p>
      <w:pPr>
        <w:tabs>
          <w:tab w:val="left" w:pos="6810"/>
        </w:tabs>
        <w:spacing w:line="360" w:lineRule="auto"/>
        <w:ind w:firstLine="422" w:firstLineChars="200"/>
        <w:jc w:val="left"/>
        <w:rPr>
          <w:color w:val="auto"/>
          <w:szCs w:val="21"/>
          <w:highlight w:val="none"/>
        </w:rPr>
      </w:pPr>
      <w:r>
        <w:rPr>
          <w:b/>
          <w:color w:val="auto"/>
          <w:szCs w:val="21"/>
          <w:highlight w:val="none"/>
        </w:rPr>
        <w:t>2.4</w:t>
      </w:r>
      <w:r>
        <w:rPr>
          <w:color w:val="auto"/>
          <w:szCs w:val="21"/>
          <w:highlight w:val="none"/>
        </w:rPr>
        <w:t>“</w:t>
      </w:r>
      <w:r>
        <w:rPr>
          <w:rFonts w:hAnsi="宋体"/>
          <w:color w:val="auto"/>
          <w:szCs w:val="21"/>
          <w:highlight w:val="none"/>
        </w:rPr>
        <w:t>服务</w:t>
      </w:r>
      <w:r>
        <w:rPr>
          <w:color w:val="auto"/>
          <w:szCs w:val="21"/>
          <w:highlight w:val="none"/>
        </w:rPr>
        <w:t>”</w:t>
      </w:r>
      <w:r>
        <w:rPr>
          <w:rFonts w:hAnsi="宋体"/>
          <w:color w:val="auto"/>
          <w:szCs w:val="21"/>
          <w:highlight w:val="none"/>
        </w:rPr>
        <w:t>系指根据招标文件要求中标人必须承担的各类服务。</w:t>
      </w:r>
    </w:p>
    <w:p>
      <w:pPr>
        <w:spacing w:line="360" w:lineRule="auto"/>
        <w:jc w:val="left"/>
        <w:rPr>
          <w:b/>
          <w:color w:val="auto"/>
          <w:szCs w:val="21"/>
          <w:highlight w:val="none"/>
        </w:rPr>
      </w:pPr>
      <w:r>
        <w:rPr>
          <w:b/>
          <w:color w:val="auto"/>
          <w:szCs w:val="21"/>
          <w:highlight w:val="none"/>
        </w:rPr>
        <w:t xml:space="preserve">3. </w:t>
      </w:r>
      <w:r>
        <w:rPr>
          <w:rFonts w:hAnsi="宋体"/>
          <w:b/>
          <w:color w:val="auto"/>
          <w:szCs w:val="21"/>
          <w:highlight w:val="none"/>
        </w:rPr>
        <w:t>投标人资格要求</w:t>
      </w:r>
    </w:p>
    <w:p>
      <w:pPr>
        <w:spacing w:line="360" w:lineRule="auto"/>
        <w:ind w:firstLine="420" w:firstLineChars="200"/>
        <w:jc w:val="left"/>
        <w:rPr>
          <w:color w:val="auto"/>
          <w:szCs w:val="21"/>
          <w:highlight w:val="none"/>
        </w:rPr>
      </w:pPr>
      <w:r>
        <w:rPr>
          <w:rFonts w:hAnsi="宋体"/>
          <w:color w:val="auto"/>
          <w:szCs w:val="21"/>
          <w:highlight w:val="none"/>
        </w:rPr>
        <w:t>按本招标文件的</w:t>
      </w:r>
      <w:r>
        <w:rPr>
          <w:color w:val="auto"/>
          <w:szCs w:val="21"/>
          <w:highlight w:val="none"/>
        </w:rPr>
        <w:t>“</w:t>
      </w:r>
      <w:r>
        <w:rPr>
          <w:rFonts w:hAnsi="宋体"/>
          <w:color w:val="auto"/>
          <w:szCs w:val="21"/>
          <w:highlight w:val="none"/>
        </w:rPr>
        <w:t>投标人须知前附表</w:t>
      </w:r>
      <w:r>
        <w:rPr>
          <w:color w:val="auto"/>
          <w:szCs w:val="21"/>
          <w:highlight w:val="none"/>
        </w:rPr>
        <w:t>”</w:t>
      </w:r>
      <w:r>
        <w:rPr>
          <w:rFonts w:hAnsi="宋体"/>
          <w:color w:val="auto"/>
          <w:szCs w:val="21"/>
          <w:highlight w:val="none"/>
        </w:rPr>
        <w:t>中序号</w:t>
      </w:r>
      <w:r>
        <w:rPr>
          <w:color w:val="auto"/>
          <w:szCs w:val="21"/>
          <w:highlight w:val="none"/>
        </w:rPr>
        <w:t>3</w:t>
      </w:r>
      <w:r>
        <w:rPr>
          <w:rFonts w:hAnsi="宋体"/>
          <w:color w:val="auto"/>
          <w:szCs w:val="21"/>
          <w:highlight w:val="none"/>
        </w:rPr>
        <w:t>要求。</w:t>
      </w:r>
    </w:p>
    <w:p>
      <w:pPr>
        <w:spacing w:line="360" w:lineRule="auto"/>
        <w:jc w:val="left"/>
        <w:rPr>
          <w:b/>
          <w:color w:val="auto"/>
          <w:szCs w:val="21"/>
          <w:highlight w:val="none"/>
        </w:rPr>
      </w:pPr>
      <w:r>
        <w:rPr>
          <w:b/>
          <w:color w:val="auto"/>
          <w:szCs w:val="21"/>
          <w:highlight w:val="none"/>
        </w:rPr>
        <w:t xml:space="preserve">4. </w:t>
      </w:r>
      <w:r>
        <w:rPr>
          <w:rFonts w:hAnsi="宋体"/>
          <w:b/>
          <w:color w:val="auto"/>
          <w:szCs w:val="21"/>
          <w:highlight w:val="none"/>
        </w:rPr>
        <w:t>投标费用</w:t>
      </w:r>
    </w:p>
    <w:p>
      <w:pPr>
        <w:spacing w:line="360" w:lineRule="auto"/>
        <w:ind w:firstLine="422" w:firstLineChars="200"/>
        <w:jc w:val="left"/>
        <w:rPr>
          <w:color w:val="auto"/>
          <w:szCs w:val="21"/>
          <w:highlight w:val="none"/>
        </w:rPr>
      </w:pPr>
      <w:r>
        <w:rPr>
          <w:b/>
          <w:color w:val="auto"/>
          <w:szCs w:val="21"/>
          <w:highlight w:val="none"/>
        </w:rPr>
        <w:t>4.1</w:t>
      </w:r>
      <w:r>
        <w:rPr>
          <w:rFonts w:hAnsi="宋体"/>
          <w:color w:val="auto"/>
          <w:szCs w:val="21"/>
          <w:highlight w:val="none"/>
        </w:rPr>
        <w:t>不论最终的结果如何，投标人应承担所有与准备和参加投标有关的费用。</w:t>
      </w:r>
    </w:p>
    <w:p>
      <w:pPr>
        <w:spacing w:line="400" w:lineRule="exact"/>
        <w:jc w:val="center"/>
        <w:outlineLvl w:val="0"/>
        <w:rPr>
          <w:rFonts w:hAnsi="宋体"/>
          <w:b/>
          <w:color w:val="auto"/>
          <w:szCs w:val="21"/>
          <w:highlight w:val="none"/>
        </w:rPr>
      </w:pPr>
    </w:p>
    <w:p>
      <w:pPr>
        <w:spacing w:line="400" w:lineRule="exact"/>
        <w:jc w:val="center"/>
        <w:outlineLvl w:val="0"/>
        <w:rPr>
          <w:color w:val="auto"/>
          <w:szCs w:val="21"/>
          <w:highlight w:val="none"/>
        </w:rPr>
      </w:pPr>
      <w:r>
        <w:rPr>
          <w:rFonts w:hAnsi="宋体"/>
          <w:b/>
          <w:color w:val="auto"/>
          <w:szCs w:val="21"/>
          <w:highlight w:val="none"/>
        </w:rPr>
        <w:t>（二）招标文件说明</w:t>
      </w:r>
    </w:p>
    <w:p>
      <w:pPr>
        <w:spacing w:line="400" w:lineRule="exact"/>
        <w:jc w:val="left"/>
        <w:rPr>
          <w:b/>
          <w:color w:val="auto"/>
          <w:szCs w:val="21"/>
          <w:highlight w:val="none"/>
        </w:rPr>
      </w:pPr>
      <w:r>
        <w:rPr>
          <w:b/>
          <w:color w:val="auto"/>
          <w:szCs w:val="21"/>
          <w:highlight w:val="none"/>
        </w:rPr>
        <w:t xml:space="preserve">5. </w:t>
      </w:r>
      <w:r>
        <w:rPr>
          <w:rFonts w:hAnsi="宋体"/>
          <w:b/>
          <w:color w:val="auto"/>
          <w:szCs w:val="21"/>
          <w:highlight w:val="none"/>
        </w:rPr>
        <w:t>招标文件的构成</w:t>
      </w:r>
    </w:p>
    <w:p>
      <w:pPr>
        <w:spacing w:line="400" w:lineRule="exact"/>
        <w:ind w:firstLine="422" w:firstLineChars="200"/>
        <w:jc w:val="left"/>
        <w:rPr>
          <w:color w:val="auto"/>
          <w:szCs w:val="21"/>
          <w:highlight w:val="none"/>
        </w:rPr>
      </w:pPr>
      <w:r>
        <w:rPr>
          <w:b/>
          <w:color w:val="auto"/>
          <w:szCs w:val="21"/>
          <w:highlight w:val="none"/>
        </w:rPr>
        <w:t>5.1</w:t>
      </w:r>
      <w:r>
        <w:rPr>
          <w:rFonts w:hAnsi="宋体"/>
          <w:color w:val="auto"/>
          <w:szCs w:val="21"/>
          <w:highlight w:val="none"/>
        </w:rPr>
        <w:t>招标文件包括：</w:t>
      </w:r>
    </w:p>
    <w:p>
      <w:pPr>
        <w:adjustRightInd w:val="0"/>
        <w:snapToGrid w:val="0"/>
        <w:spacing w:line="400" w:lineRule="exact"/>
        <w:ind w:firstLine="420" w:firstLineChars="200"/>
        <w:jc w:val="left"/>
        <w:rPr>
          <w:color w:val="auto"/>
          <w:kern w:val="0"/>
          <w:szCs w:val="21"/>
          <w:highlight w:val="none"/>
        </w:rPr>
      </w:pPr>
      <w:r>
        <w:rPr>
          <w:rFonts w:hint="eastAsia"/>
          <w:color w:val="auto"/>
          <w:szCs w:val="21"/>
          <w:highlight w:val="none"/>
        </w:rPr>
        <w:t>（1）</w:t>
      </w:r>
      <w:r>
        <w:rPr>
          <w:rFonts w:hAnsi="宋体"/>
          <w:color w:val="auto"/>
          <w:kern w:val="0"/>
          <w:szCs w:val="21"/>
          <w:highlight w:val="none"/>
        </w:rPr>
        <w:t>招标公告</w:t>
      </w:r>
    </w:p>
    <w:p>
      <w:pPr>
        <w:adjustRightInd w:val="0"/>
        <w:snapToGrid w:val="0"/>
        <w:spacing w:line="400" w:lineRule="exact"/>
        <w:ind w:firstLine="420" w:firstLineChars="200"/>
        <w:jc w:val="left"/>
        <w:rPr>
          <w:color w:val="auto"/>
          <w:kern w:val="0"/>
          <w:szCs w:val="21"/>
          <w:highlight w:val="none"/>
        </w:rPr>
      </w:pPr>
      <w:r>
        <w:rPr>
          <w:rFonts w:hint="eastAsia" w:hAnsi="宋体"/>
          <w:color w:val="auto"/>
          <w:kern w:val="0"/>
          <w:szCs w:val="21"/>
          <w:highlight w:val="none"/>
        </w:rPr>
        <w:t>（2）</w:t>
      </w:r>
      <w:r>
        <w:rPr>
          <w:rFonts w:hAnsi="宋体"/>
          <w:color w:val="auto"/>
          <w:kern w:val="0"/>
          <w:szCs w:val="21"/>
          <w:highlight w:val="none"/>
        </w:rPr>
        <w:t>投标人须知</w:t>
      </w:r>
    </w:p>
    <w:p>
      <w:pPr>
        <w:adjustRightInd w:val="0"/>
        <w:snapToGrid w:val="0"/>
        <w:spacing w:line="400" w:lineRule="exact"/>
        <w:ind w:firstLine="420" w:firstLineChars="200"/>
        <w:jc w:val="left"/>
        <w:rPr>
          <w:color w:val="auto"/>
          <w:kern w:val="0"/>
          <w:szCs w:val="21"/>
          <w:highlight w:val="none"/>
        </w:rPr>
      </w:pPr>
      <w:r>
        <w:rPr>
          <w:rFonts w:hint="eastAsia" w:hAnsi="宋体"/>
          <w:color w:val="auto"/>
          <w:kern w:val="0"/>
          <w:szCs w:val="21"/>
          <w:highlight w:val="none"/>
        </w:rPr>
        <w:t>（3）</w:t>
      </w:r>
      <w:r>
        <w:rPr>
          <w:rFonts w:hAnsi="宋体"/>
          <w:color w:val="auto"/>
          <w:kern w:val="0"/>
          <w:szCs w:val="21"/>
          <w:highlight w:val="none"/>
        </w:rPr>
        <w:t>项目情况概述</w:t>
      </w:r>
    </w:p>
    <w:p>
      <w:pPr>
        <w:adjustRightInd w:val="0"/>
        <w:snapToGrid w:val="0"/>
        <w:spacing w:line="400" w:lineRule="exact"/>
        <w:ind w:firstLine="420" w:firstLineChars="200"/>
        <w:jc w:val="left"/>
        <w:rPr>
          <w:color w:val="auto"/>
          <w:kern w:val="0"/>
          <w:szCs w:val="21"/>
          <w:highlight w:val="none"/>
        </w:rPr>
      </w:pPr>
      <w:r>
        <w:rPr>
          <w:rFonts w:hint="eastAsia" w:hAnsi="宋体"/>
          <w:color w:val="auto"/>
          <w:kern w:val="0"/>
          <w:szCs w:val="21"/>
          <w:highlight w:val="none"/>
        </w:rPr>
        <w:t>（4）</w:t>
      </w:r>
      <w:r>
        <w:rPr>
          <w:rFonts w:hAnsi="宋体"/>
          <w:color w:val="auto"/>
          <w:kern w:val="0"/>
          <w:szCs w:val="21"/>
          <w:highlight w:val="none"/>
        </w:rPr>
        <w:t>合同主要条款</w:t>
      </w:r>
    </w:p>
    <w:p>
      <w:pPr>
        <w:adjustRightInd w:val="0"/>
        <w:snapToGrid w:val="0"/>
        <w:spacing w:line="400" w:lineRule="exact"/>
        <w:ind w:firstLine="420" w:firstLineChars="200"/>
        <w:jc w:val="left"/>
        <w:rPr>
          <w:color w:val="auto"/>
          <w:kern w:val="0"/>
          <w:szCs w:val="21"/>
          <w:highlight w:val="none"/>
        </w:rPr>
      </w:pPr>
      <w:r>
        <w:rPr>
          <w:rFonts w:hint="eastAsia" w:hAnsi="宋体"/>
          <w:color w:val="auto"/>
          <w:kern w:val="0"/>
          <w:szCs w:val="21"/>
          <w:highlight w:val="none"/>
        </w:rPr>
        <w:t>（5）</w:t>
      </w:r>
      <w:r>
        <w:rPr>
          <w:rFonts w:hAnsi="宋体"/>
          <w:color w:val="auto"/>
          <w:kern w:val="0"/>
          <w:szCs w:val="21"/>
          <w:highlight w:val="none"/>
        </w:rPr>
        <w:t>投标文件格式</w:t>
      </w:r>
    </w:p>
    <w:p>
      <w:pPr>
        <w:adjustRightInd w:val="0"/>
        <w:snapToGrid w:val="0"/>
        <w:spacing w:line="400" w:lineRule="exact"/>
        <w:ind w:firstLine="420" w:firstLineChars="200"/>
        <w:jc w:val="left"/>
        <w:rPr>
          <w:color w:val="auto"/>
          <w:kern w:val="0"/>
          <w:szCs w:val="21"/>
          <w:highlight w:val="none"/>
        </w:rPr>
      </w:pPr>
      <w:r>
        <w:rPr>
          <w:rFonts w:hint="eastAsia" w:hAnsi="宋体"/>
          <w:color w:val="auto"/>
          <w:kern w:val="0"/>
          <w:szCs w:val="21"/>
          <w:highlight w:val="none"/>
        </w:rPr>
        <w:t>（6）</w:t>
      </w:r>
      <w:r>
        <w:rPr>
          <w:rFonts w:hAnsi="宋体"/>
          <w:color w:val="auto"/>
          <w:kern w:val="0"/>
          <w:szCs w:val="21"/>
          <w:highlight w:val="none"/>
        </w:rPr>
        <w:t>评标办法</w:t>
      </w:r>
    </w:p>
    <w:p>
      <w:pPr>
        <w:spacing w:line="400" w:lineRule="exact"/>
        <w:jc w:val="left"/>
        <w:rPr>
          <w:b/>
          <w:color w:val="auto"/>
          <w:szCs w:val="21"/>
          <w:highlight w:val="none"/>
        </w:rPr>
      </w:pPr>
      <w:r>
        <w:rPr>
          <w:b/>
          <w:bCs/>
          <w:color w:val="auto"/>
          <w:szCs w:val="21"/>
          <w:highlight w:val="none"/>
        </w:rPr>
        <w:t xml:space="preserve">6 </w:t>
      </w:r>
      <w:r>
        <w:rPr>
          <w:rFonts w:hAnsi="宋体"/>
          <w:b/>
          <w:bCs/>
          <w:color w:val="auto"/>
          <w:szCs w:val="21"/>
          <w:highlight w:val="none"/>
        </w:rPr>
        <w:t>踏勘现场</w:t>
      </w:r>
    </w:p>
    <w:p>
      <w:pPr>
        <w:spacing w:line="400" w:lineRule="exact"/>
        <w:ind w:firstLine="420" w:firstLineChars="200"/>
        <w:jc w:val="left"/>
        <w:rPr>
          <w:color w:val="auto"/>
          <w:szCs w:val="21"/>
          <w:highlight w:val="none"/>
        </w:rPr>
      </w:pPr>
      <w:r>
        <w:rPr>
          <w:rFonts w:hAnsi="宋体"/>
          <w:color w:val="auto"/>
          <w:szCs w:val="21"/>
          <w:highlight w:val="none"/>
        </w:rPr>
        <w:t>见投标人须知前附表。</w:t>
      </w:r>
    </w:p>
    <w:p>
      <w:pPr>
        <w:spacing w:line="400" w:lineRule="exact"/>
        <w:jc w:val="left"/>
        <w:rPr>
          <w:b/>
          <w:color w:val="auto"/>
          <w:szCs w:val="21"/>
          <w:highlight w:val="none"/>
        </w:rPr>
      </w:pPr>
      <w:r>
        <w:rPr>
          <w:b/>
          <w:color w:val="auto"/>
          <w:szCs w:val="21"/>
          <w:highlight w:val="none"/>
        </w:rPr>
        <w:t xml:space="preserve">7. </w:t>
      </w:r>
      <w:r>
        <w:rPr>
          <w:rFonts w:hAnsi="宋体"/>
          <w:b/>
          <w:color w:val="auto"/>
          <w:szCs w:val="21"/>
          <w:highlight w:val="none"/>
        </w:rPr>
        <w:t>招标文件的澄清</w:t>
      </w:r>
    </w:p>
    <w:p>
      <w:pPr>
        <w:spacing w:line="400" w:lineRule="exact"/>
        <w:ind w:firstLine="422" w:firstLineChars="200"/>
        <w:jc w:val="left"/>
        <w:rPr>
          <w:color w:val="auto"/>
          <w:szCs w:val="21"/>
          <w:highlight w:val="none"/>
        </w:rPr>
      </w:pPr>
      <w:r>
        <w:rPr>
          <w:b/>
          <w:color w:val="auto"/>
          <w:szCs w:val="21"/>
          <w:highlight w:val="none"/>
        </w:rPr>
        <w:t>7.1</w:t>
      </w:r>
      <w:r>
        <w:rPr>
          <w:rFonts w:hAnsi="宋体"/>
          <w:color w:val="auto"/>
          <w:szCs w:val="21"/>
          <w:highlight w:val="none"/>
        </w:rPr>
        <w:t>任何要求对招标文件进行澄清的投标人，均应以书面形式通知招标人，招标人对其在</w:t>
      </w:r>
      <w:r>
        <w:rPr>
          <w:color w:val="auto"/>
          <w:szCs w:val="21"/>
          <w:highlight w:val="none"/>
        </w:rPr>
        <w:t>“</w:t>
      </w:r>
      <w:r>
        <w:rPr>
          <w:rFonts w:hAnsi="宋体"/>
          <w:color w:val="auto"/>
          <w:szCs w:val="21"/>
          <w:highlight w:val="none"/>
        </w:rPr>
        <w:t>前附表</w:t>
      </w:r>
      <w:r>
        <w:rPr>
          <w:color w:val="auto"/>
          <w:szCs w:val="21"/>
          <w:highlight w:val="none"/>
        </w:rPr>
        <w:t>”</w:t>
      </w:r>
      <w:r>
        <w:rPr>
          <w:rFonts w:hAnsi="宋体"/>
          <w:color w:val="auto"/>
          <w:szCs w:val="21"/>
          <w:highlight w:val="none"/>
        </w:rPr>
        <w:t>中所述截止时间之前收到的对招标文件的澄清要求均以书面形式予以答复，同时将书面答复发给每个购买招标文件的投标人（答复中不包括问题的来源）。</w:t>
      </w:r>
      <w:r>
        <w:rPr>
          <w:color w:val="auto"/>
          <w:szCs w:val="21"/>
          <w:highlight w:val="none"/>
        </w:rPr>
        <w:t xml:space="preserve"> </w:t>
      </w:r>
    </w:p>
    <w:p>
      <w:pPr>
        <w:spacing w:line="400" w:lineRule="exact"/>
        <w:jc w:val="left"/>
        <w:rPr>
          <w:b/>
          <w:color w:val="auto"/>
          <w:szCs w:val="21"/>
          <w:highlight w:val="none"/>
        </w:rPr>
      </w:pPr>
      <w:r>
        <w:rPr>
          <w:b/>
          <w:color w:val="auto"/>
          <w:szCs w:val="21"/>
          <w:highlight w:val="none"/>
        </w:rPr>
        <w:t xml:space="preserve">8. </w:t>
      </w:r>
      <w:r>
        <w:rPr>
          <w:rFonts w:hAnsi="宋体"/>
          <w:b/>
          <w:color w:val="auto"/>
          <w:szCs w:val="21"/>
          <w:highlight w:val="none"/>
        </w:rPr>
        <w:t>招标文件的修改</w:t>
      </w:r>
    </w:p>
    <w:p>
      <w:pPr>
        <w:spacing w:line="400" w:lineRule="exact"/>
        <w:ind w:firstLine="422" w:firstLineChars="200"/>
        <w:jc w:val="left"/>
        <w:rPr>
          <w:color w:val="auto"/>
          <w:szCs w:val="21"/>
          <w:highlight w:val="none"/>
        </w:rPr>
      </w:pPr>
      <w:r>
        <w:rPr>
          <w:b/>
          <w:color w:val="auto"/>
          <w:szCs w:val="21"/>
          <w:highlight w:val="none"/>
        </w:rPr>
        <w:t>8.1</w:t>
      </w:r>
      <w:r>
        <w:rPr>
          <w:rFonts w:hAnsi="宋体"/>
          <w:color w:val="auto"/>
          <w:szCs w:val="21"/>
          <w:highlight w:val="none"/>
        </w:rPr>
        <w:t>在递交投标文件截止时间之前，无论出于何种原因，招标人可主动地或在解答投标人提出的澄清问题时对招标文件进行修改。</w:t>
      </w:r>
    </w:p>
    <w:p>
      <w:pPr>
        <w:spacing w:line="400" w:lineRule="exact"/>
        <w:ind w:right="16" w:firstLine="422" w:firstLineChars="200"/>
        <w:jc w:val="left"/>
        <w:rPr>
          <w:color w:val="auto"/>
          <w:szCs w:val="21"/>
          <w:highlight w:val="none"/>
        </w:rPr>
      </w:pPr>
      <w:r>
        <w:rPr>
          <w:b/>
          <w:color w:val="auto"/>
          <w:szCs w:val="21"/>
          <w:highlight w:val="none"/>
        </w:rPr>
        <w:t>8.2</w:t>
      </w:r>
      <w:r>
        <w:rPr>
          <w:color w:val="auto"/>
          <w:szCs w:val="21"/>
          <w:highlight w:val="none"/>
        </w:rPr>
        <w:t xml:space="preserve"> </w:t>
      </w:r>
      <w:r>
        <w:rPr>
          <w:rFonts w:hAnsi="宋体"/>
          <w:color w:val="auto"/>
          <w:szCs w:val="21"/>
          <w:highlight w:val="none"/>
        </w:rPr>
        <w:t>招标文件的修改将以书面形式通知所有购买招标文件的投标人，并对其具有约束力。投标人在收到上述通知后，应立即向招标人回函确认。</w:t>
      </w:r>
    </w:p>
    <w:p>
      <w:pPr>
        <w:spacing w:line="400" w:lineRule="exact"/>
        <w:ind w:firstLine="422" w:firstLineChars="200"/>
        <w:jc w:val="left"/>
        <w:rPr>
          <w:rFonts w:hAnsi="宋体"/>
          <w:color w:val="auto"/>
          <w:szCs w:val="21"/>
          <w:highlight w:val="none"/>
        </w:rPr>
      </w:pPr>
      <w:r>
        <w:rPr>
          <w:b/>
          <w:color w:val="auto"/>
          <w:szCs w:val="21"/>
          <w:highlight w:val="none"/>
        </w:rPr>
        <w:t>8.3</w:t>
      </w:r>
      <w:r>
        <w:rPr>
          <w:rFonts w:hAnsi="宋体"/>
          <w:color w:val="auto"/>
          <w:szCs w:val="21"/>
          <w:highlight w:val="none"/>
        </w:rPr>
        <w:t>为使投标人准备投标文件时有充分时间对招标文件的修改部分进行研究，招标人可适当延长递交投标文件截止时间。</w:t>
      </w:r>
    </w:p>
    <w:p>
      <w:pPr>
        <w:spacing w:line="400" w:lineRule="exact"/>
        <w:jc w:val="center"/>
        <w:rPr>
          <w:rFonts w:hAnsi="宋体"/>
          <w:b/>
          <w:color w:val="auto"/>
          <w:szCs w:val="21"/>
          <w:highlight w:val="none"/>
        </w:rPr>
      </w:pPr>
    </w:p>
    <w:p>
      <w:pPr>
        <w:spacing w:line="400" w:lineRule="exact"/>
        <w:jc w:val="center"/>
        <w:rPr>
          <w:b/>
          <w:color w:val="auto"/>
          <w:szCs w:val="21"/>
          <w:highlight w:val="none"/>
        </w:rPr>
      </w:pPr>
      <w:r>
        <w:rPr>
          <w:rFonts w:hAnsi="宋体"/>
          <w:b/>
          <w:color w:val="auto"/>
          <w:szCs w:val="21"/>
          <w:highlight w:val="none"/>
        </w:rPr>
        <w:t>（三）投标文件的编制</w:t>
      </w:r>
    </w:p>
    <w:p>
      <w:pPr>
        <w:spacing w:line="400" w:lineRule="exact"/>
        <w:jc w:val="left"/>
        <w:rPr>
          <w:b/>
          <w:color w:val="auto"/>
          <w:szCs w:val="21"/>
          <w:highlight w:val="none"/>
        </w:rPr>
      </w:pPr>
      <w:r>
        <w:rPr>
          <w:b/>
          <w:color w:val="auto"/>
          <w:szCs w:val="21"/>
          <w:highlight w:val="none"/>
        </w:rPr>
        <w:t>9.</w:t>
      </w:r>
      <w:r>
        <w:rPr>
          <w:rFonts w:hAnsi="宋体"/>
          <w:b/>
          <w:color w:val="auto"/>
          <w:szCs w:val="21"/>
          <w:highlight w:val="none"/>
        </w:rPr>
        <w:t>要求</w:t>
      </w:r>
    </w:p>
    <w:p>
      <w:pPr>
        <w:spacing w:line="400" w:lineRule="exact"/>
        <w:ind w:firstLine="422" w:firstLineChars="200"/>
        <w:jc w:val="left"/>
        <w:rPr>
          <w:color w:val="auto"/>
          <w:szCs w:val="21"/>
          <w:highlight w:val="none"/>
        </w:rPr>
      </w:pPr>
      <w:r>
        <w:rPr>
          <w:b/>
          <w:color w:val="auto"/>
          <w:szCs w:val="21"/>
          <w:highlight w:val="none"/>
        </w:rPr>
        <w:t>9.1</w:t>
      </w:r>
      <w:r>
        <w:rPr>
          <w:rFonts w:hAnsi="宋体"/>
          <w:color w:val="auto"/>
          <w:szCs w:val="21"/>
          <w:highlight w:val="none"/>
        </w:rPr>
        <w:t>投标人应仔细阅读招标文件的所有内容，按招标文件的要求提供投标文件，并保证所提供的全部资料的真实性，以使其提供的资料对招标文件</w:t>
      </w:r>
      <w:r>
        <w:rPr>
          <w:rFonts w:hint="eastAsia" w:hAnsi="宋体"/>
          <w:color w:val="auto"/>
          <w:szCs w:val="21"/>
          <w:highlight w:val="none"/>
        </w:rPr>
        <w:t>做</w:t>
      </w:r>
      <w:r>
        <w:rPr>
          <w:rFonts w:hAnsi="宋体"/>
          <w:color w:val="auto"/>
          <w:szCs w:val="21"/>
          <w:highlight w:val="none"/>
        </w:rPr>
        <w:t>出实质性响应，否则其投标文件可能被拒绝。</w:t>
      </w:r>
      <w:r>
        <w:rPr>
          <w:color w:val="auto"/>
          <w:szCs w:val="21"/>
          <w:highlight w:val="none"/>
        </w:rPr>
        <w:t xml:space="preserve"> </w:t>
      </w:r>
    </w:p>
    <w:p>
      <w:pPr>
        <w:spacing w:line="400" w:lineRule="exact"/>
        <w:jc w:val="left"/>
        <w:rPr>
          <w:b/>
          <w:color w:val="auto"/>
          <w:szCs w:val="21"/>
          <w:highlight w:val="none"/>
        </w:rPr>
      </w:pPr>
      <w:r>
        <w:rPr>
          <w:b/>
          <w:color w:val="auto"/>
          <w:szCs w:val="21"/>
          <w:highlight w:val="none"/>
        </w:rPr>
        <w:t>10.</w:t>
      </w:r>
      <w:r>
        <w:rPr>
          <w:rFonts w:hAnsi="宋体"/>
          <w:b/>
          <w:color w:val="auto"/>
          <w:szCs w:val="21"/>
          <w:highlight w:val="none"/>
        </w:rPr>
        <w:t>投标文件的组成</w:t>
      </w:r>
      <w:r>
        <w:rPr>
          <w:rFonts w:hint="eastAsia" w:hAnsi="宋体"/>
          <w:b/>
          <w:color w:val="auto"/>
          <w:szCs w:val="21"/>
          <w:highlight w:val="none"/>
        </w:rPr>
        <w:t>（格式详见第五章）</w:t>
      </w:r>
    </w:p>
    <w:p>
      <w:pPr>
        <w:tabs>
          <w:tab w:val="left" w:pos="720"/>
          <w:tab w:val="left" w:pos="1080"/>
        </w:tabs>
        <w:spacing w:line="400" w:lineRule="exact"/>
        <w:ind w:firstLine="420" w:firstLineChars="200"/>
        <w:jc w:val="left"/>
        <w:rPr>
          <w:color w:val="auto"/>
          <w:szCs w:val="21"/>
          <w:highlight w:val="none"/>
        </w:rPr>
      </w:pPr>
      <w:r>
        <w:rPr>
          <w:color w:val="auto"/>
          <w:szCs w:val="21"/>
          <w:highlight w:val="none"/>
        </w:rPr>
        <w:t>10.1</w:t>
      </w:r>
      <w:r>
        <w:rPr>
          <w:rFonts w:hAnsi="宋体"/>
          <w:color w:val="auto"/>
          <w:szCs w:val="21"/>
          <w:highlight w:val="none"/>
        </w:rPr>
        <w:t>投标人应根据招标文件中所提供的格式，内容按顺序填写并装订成册，不允许以活页形式装订投标文件；</w:t>
      </w:r>
    </w:p>
    <w:p>
      <w:pPr>
        <w:snapToGrid w:val="0"/>
        <w:spacing w:line="400" w:lineRule="exact"/>
        <w:ind w:right="-21" w:rightChars="-10" w:firstLine="420" w:firstLineChars="200"/>
        <w:jc w:val="left"/>
        <w:rPr>
          <w:b/>
          <w:color w:val="auto"/>
          <w:szCs w:val="21"/>
          <w:highlight w:val="none"/>
        </w:rPr>
      </w:pPr>
      <w:r>
        <w:rPr>
          <w:rFonts w:hint="eastAsia"/>
          <w:color w:val="auto"/>
          <w:szCs w:val="21"/>
          <w:highlight w:val="none"/>
        </w:rPr>
        <w:t>10.2</w:t>
      </w:r>
      <w:r>
        <w:rPr>
          <w:rFonts w:hAnsi="宋体"/>
          <w:color w:val="auto"/>
          <w:szCs w:val="21"/>
          <w:highlight w:val="none"/>
        </w:rPr>
        <w:t>投标文件应有目录以及页码。投标文件内容尽量以图片和表格形式进行编制，以便评委检索</w:t>
      </w:r>
      <w:r>
        <w:rPr>
          <w:rFonts w:hint="eastAsia" w:hAnsi="宋体"/>
          <w:color w:val="auto"/>
          <w:szCs w:val="21"/>
          <w:highlight w:val="none"/>
        </w:rPr>
        <w:t>；</w:t>
      </w:r>
    </w:p>
    <w:p>
      <w:pPr>
        <w:tabs>
          <w:tab w:val="left" w:pos="5355"/>
        </w:tabs>
        <w:spacing w:line="400" w:lineRule="exact"/>
        <w:ind w:firstLine="420" w:firstLineChars="200"/>
        <w:jc w:val="left"/>
        <w:rPr>
          <w:color w:val="auto"/>
          <w:szCs w:val="21"/>
          <w:highlight w:val="none"/>
        </w:rPr>
      </w:pPr>
      <w:r>
        <w:rPr>
          <w:rFonts w:hint="eastAsia"/>
          <w:color w:val="auto"/>
          <w:szCs w:val="21"/>
          <w:highlight w:val="none"/>
        </w:rPr>
        <w:t>10.3</w:t>
      </w:r>
      <w:r>
        <w:rPr>
          <w:rFonts w:hAnsi="宋体"/>
          <w:color w:val="auto"/>
          <w:szCs w:val="21"/>
          <w:highlight w:val="none"/>
        </w:rPr>
        <w:t>根据招标文件中的</w:t>
      </w:r>
      <w:r>
        <w:rPr>
          <w:color w:val="auto"/>
          <w:szCs w:val="21"/>
          <w:highlight w:val="none"/>
        </w:rPr>
        <w:t>&lt;</w:t>
      </w:r>
      <w:r>
        <w:rPr>
          <w:rFonts w:hAnsi="宋体"/>
          <w:color w:val="auto"/>
          <w:szCs w:val="21"/>
          <w:highlight w:val="none"/>
        </w:rPr>
        <w:t>服务的内容、范围及要求</w:t>
      </w:r>
      <w:r>
        <w:rPr>
          <w:color w:val="auto"/>
          <w:szCs w:val="21"/>
          <w:highlight w:val="none"/>
        </w:rPr>
        <w:t>&gt;</w:t>
      </w:r>
      <w:r>
        <w:rPr>
          <w:rFonts w:hAnsi="宋体"/>
          <w:color w:val="auto"/>
          <w:szCs w:val="21"/>
          <w:highlight w:val="none"/>
        </w:rPr>
        <w:t>，以及招标文件中的评分细则要求，投标人认为需要提供的文件和资料如招标文件中未提供格式，请投标人自拟。</w:t>
      </w:r>
    </w:p>
    <w:p>
      <w:pPr>
        <w:spacing w:line="400" w:lineRule="exact"/>
        <w:ind w:firstLine="420" w:firstLineChars="200"/>
        <w:jc w:val="left"/>
        <w:rPr>
          <w:color w:val="auto"/>
          <w:szCs w:val="21"/>
          <w:highlight w:val="none"/>
        </w:rPr>
      </w:pPr>
      <w:r>
        <w:rPr>
          <w:rFonts w:hint="eastAsia"/>
          <w:color w:val="auto"/>
          <w:szCs w:val="21"/>
          <w:highlight w:val="none"/>
        </w:rPr>
        <w:t>10.4</w:t>
      </w:r>
      <w:r>
        <w:rPr>
          <w:rFonts w:hAnsi="宋体"/>
          <w:color w:val="auto"/>
          <w:szCs w:val="21"/>
          <w:highlight w:val="none"/>
        </w:rPr>
        <w:t>招标文件中所需的各种证书、证件、证明、执照若系复印件，须在复印件上加盖投标人公章。</w:t>
      </w:r>
    </w:p>
    <w:p>
      <w:pPr>
        <w:spacing w:line="400" w:lineRule="exact"/>
        <w:jc w:val="left"/>
        <w:rPr>
          <w:b/>
          <w:color w:val="auto"/>
          <w:szCs w:val="21"/>
          <w:highlight w:val="none"/>
        </w:rPr>
      </w:pPr>
      <w:r>
        <w:rPr>
          <w:b/>
          <w:color w:val="auto"/>
          <w:szCs w:val="21"/>
          <w:highlight w:val="none"/>
        </w:rPr>
        <w:t>11.</w:t>
      </w:r>
      <w:r>
        <w:rPr>
          <w:rFonts w:hAnsi="宋体"/>
          <w:b/>
          <w:color w:val="auto"/>
          <w:szCs w:val="21"/>
          <w:highlight w:val="none"/>
        </w:rPr>
        <w:t>投标报价</w:t>
      </w:r>
    </w:p>
    <w:p>
      <w:pPr>
        <w:spacing w:line="400" w:lineRule="exact"/>
        <w:ind w:firstLine="420" w:firstLineChars="200"/>
        <w:jc w:val="left"/>
        <w:rPr>
          <w:color w:val="auto"/>
          <w:szCs w:val="21"/>
          <w:highlight w:val="none"/>
        </w:rPr>
      </w:pPr>
      <w:r>
        <w:rPr>
          <w:color w:val="auto"/>
          <w:szCs w:val="21"/>
          <w:highlight w:val="none"/>
        </w:rPr>
        <w:t>11.1</w:t>
      </w:r>
      <w:r>
        <w:rPr>
          <w:rFonts w:hAnsi="宋体"/>
          <w:color w:val="auto"/>
          <w:szCs w:val="21"/>
          <w:highlight w:val="none"/>
        </w:rPr>
        <w:t>投标报价应按招标文件中相关附表格式填写。</w:t>
      </w:r>
      <w:r>
        <w:rPr>
          <w:color w:val="auto"/>
          <w:szCs w:val="21"/>
          <w:highlight w:val="none"/>
        </w:rPr>
        <w:t xml:space="preserve">   </w:t>
      </w:r>
    </w:p>
    <w:p>
      <w:pPr>
        <w:spacing w:line="400" w:lineRule="exact"/>
        <w:ind w:firstLine="420" w:firstLineChars="200"/>
        <w:jc w:val="left"/>
        <w:rPr>
          <w:b/>
          <w:color w:val="auto"/>
          <w:szCs w:val="21"/>
          <w:highlight w:val="none"/>
        </w:rPr>
      </w:pPr>
      <w:r>
        <w:rPr>
          <w:color w:val="auto"/>
          <w:szCs w:val="21"/>
          <w:highlight w:val="none"/>
        </w:rPr>
        <w:t>11.2</w:t>
      </w:r>
      <w:r>
        <w:rPr>
          <w:rFonts w:hAnsi="宋体"/>
          <w:color w:val="auto"/>
          <w:szCs w:val="21"/>
          <w:highlight w:val="none"/>
        </w:rPr>
        <w:t>投标报价是履行合同的最终价格，投标报价应以人民币为结算货币。</w:t>
      </w:r>
    </w:p>
    <w:p>
      <w:pPr>
        <w:tabs>
          <w:tab w:val="left" w:pos="1031"/>
        </w:tabs>
        <w:spacing w:line="400" w:lineRule="exact"/>
        <w:ind w:firstLine="420" w:firstLineChars="200"/>
        <w:jc w:val="left"/>
        <w:rPr>
          <w:color w:val="auto"/>
          <w:szCs w:val="21"/>
          <w:highlight w:val="none"/>
        </w:rPr>
      </w:pPr>
      <w:r>
        <w:rPr>
          <w:color w:val="auto"/>
          <w:szCs w:val="21"/>
          <w:highlight w:val="none"/>
        </w:rPr>
        <w:t>11.3在合同有效期限内，若因国家税收政策调整而引起的增值税税率变化的，应按照国家税收政策调整，合同总金额变更为原合同不含增值税货物或劳务价格与调整后税率计算税额的合计金额。</w:t>
      </w:r>
    </w:p>
    <w:p>
      <w:pPr>
        <w:tabs>
          <w:tab w:val="left" w:pos="1031"/>
        </w:tabs>
        <w:spacing w:line="400" w:lineRule="exact"/>
        <w:ind w:firstLine="420" w:firstLineChars="200"/>
        <w:jc w:val="left"/>
        <w:rPr>
          <w:color w:val="auto"/>
          <w:kern w:val="1"/>
          <w:szCs w:val="21"/>
          <w:highlight w:val="none"/>
        </w:rPr>
      </w:pPr>
      <w:r>
        <w:rPr>
          <w:rFonts w:hint="eastAsia" w:hAnsi="宋体"/>
          <w:color w:val="auto"/>
          <w:szCs w:val="21"/>
          <w:highlight w:val="none"/>
        </w:rPr>
        <w:t>11.4</w:t>
      </w:r>
      <w:r>
        <w:rPr>
          <w:rFonts w:hAnsi="宋体"/>
          <w:color w:val="auto"/>
          <w:szCs w:val="21"/>
          <w:highlight w:val="none"/>
        </w:rPr>
        <w:t>投标人应根据招标文件的要求写明本项目的服务等内容的总收费报价金额、分项收费报价金额及测算依据。投标人应根据招标项目内容要求，根据项目特点和企业条件确定投标报价。</w:t>
      </w:r>
    </w:p>
    <w:p>
      <w:pPr>
        <w:spacing w:line="400" w:lineRule="exact"/>
        <w:ind w:firstLine="420" w:firstLineChars="200"/>
        <w:jc w:val="left"/>
        <w:rPr>
          <w:color w:val="auto"/>
          <w:szCs w:val="21"/>
          <w:highlight w:val="none"/>
        </w:rPr>
      </w:pPr>
      <w:r>
        <w:rPr>
          <w:color w:val="auto"/>
          <w:szCs w:val="21"/>
          <w:highlight w:val="none"/>
        </w:rPr>
        <w:t>11.5不论投标结果如何，投标人均应自行承担所有与投标有关的全部费用。</w:t>
      </w:r>
    </w:p>
    <w:p>
      <w:pPr>
        <w:spacing w:line="400" w:lineRule="exact"/>
        <w:ind w:firstLine="420" w:firstLineChars="200"/>
        <w:jc w:val="left"/>
        <w:rPr>
          <w:color w:val="auto"/>
          <w:szCs w:val="21"/>
          <w:highlight w:val="none"/>
        </w:rPr>
      </w:pPr>
      <w:r>
        <w:rPr>
          <w:color w:val="auto"/>
          <w:szCs w:val="21"/>
          <w:highlight w:val="none"/>
        </w:rPr>
        <w:t>11.</w:t>
      </w:r>
      <w:r>
        <w:rPr>
          <w:rFonts w:hint="eastAsia"/>
          <w:color w:val="auto"/>
          <w:szCs w:val="21"/>
          <w:highlight w:val="none"/>
        </w:rPr>
        <w:t>6</w:t>
      </w:r>
      <w:r>
        <w:rPr>
          <w:rFonts w:hAnsi="宋体"/>
          <w:color w:val="auto"/>
          <w:szCs w:val="21"/>
          <w:highlight w:val="none"/>
        </w:rPr>
        <w:t>投标文件只允许有一个报价，有选择的报价将不予接受。</w:t>
      </w:r>
    </w:p>
    <w:p>
      <w:pPr>
        <w:spacing w:line="400" w:lineRule="exact"/>
        <w:jc w:val="left"/>
        <w:rPr>
          <w:b/>
          <w:color w:val="auto"/>
          <w:szCs w:val="21"/>
          <w:highlight w:val="none"/>
        </w:rPr>
      </w:pPr>
      <w:r>
        <w:rPr>
          <w:b/>
          <w:color w:val="auto"/>
          <w:szCs w:val="21"/>
          <w:highlight w:val="none"/>
        </w:rPr>
        <w:t>12.</w:t>
      </w:r>
      <w:r>
        <w:rPr>
          <w:rFonts w:hAnsi="宋体"/>
          <w:b/>
          <w:color w:val="auto"/>
          <w:szCs w:val="21"/>
          <w:highlight w:val="none"/>
        </w:rPr>
        <w:t>投标保证金</w:t>
      </w:r>
    </w:p>
    <w:p>
      <w:pPr>
        <w:spacing w:line="400" w:lineRule="exact"/>
        <w:ind w:firstLine="422" w:firstLineChars="200"/>
        <w:jc w:val="left"/>
        <w:rPr>
          <w:color w:val="auto"/>
          <w:szCs w:val="21"/>
          <w:highlight w:val="none"/>
        </w:rPr>
      </w:pPr>
      <w:r>
        <w:rPr>
          <w:b/>
          <w:color w:val="auto"/>
          <w:szCs w:val="21"/>
          <w:highlight w:val="none"/>
        </w:rPr>
        <w:t>12.1</w:t>
      </w:r>
      <w:r>
        <w:rPr>
          <w:rFonts w:hAnsi="宋体"/>
          <w:color w:val="auto"/>
          <w:szCs w:val="21"/>
          <w:highlight w:val="none"/>
        </w:rPr>
        <w:t>投标保证金为投标文件的组成部分之一。</w:t>
      </w:r>
    </w:p>
    <w:p>
      <w:pPr>
        <w:spacing w:line="400" w:lineRule="exact"/>
        <w:ind w:firstLine="422" w:firstLineChars="200"/>
        <w:jc w:val="left"/>
        <w:rPr>
          <w:color w:val="auto"/>
          <w:szCs w:val="21"/>
          <w:highlight w:val="none"/>
        </w:rPr>
      </w:pPr>
      <w:r>
        <w:rPr>
          <w:b/>
          <w:color w:val="auto"/>
          <w:szCs w:val="21"/>
          <w:highlight w:val="none"/>
        </w:rPr>
        <w:t>12.2</w:t>
      </w:r>
      <w:r>
        <w:rPr>
          <w:rFonts w:hAnsi="宋体"/>
          <w:color w:val="auto"/>
          <w:szCs w:val="21"/>
          <w:highlight w:val="none"/>
        </w:rPr>
        <w:t>投标人应按投标人须知前附表规定的要求递交。</w:t>
      </w:r>
    </w:p>
    <w:p>
      <w:pPr>
        <w:spacing w:line="400" w:lineRule="exact"/>
        <w:ind w:firstLine="422" w:firstLineChars="200"/>
        <w:jc w:val="left"/>
        <w:rPr>
          <w:color w:val="auto"/>
          <w:szCs w:val="21"/>
          <w:highlight w:val="none"/>
        </w:rPr>
      </w:pPr>
      <w:r>
        <w:rPr>
          <w:b/>
          <w:color w:val="auto"/>
          <w:szCs w:val="21"/>
          <w:highlight w:val="none"/>
        </w:rPr>
        <w:t>12.3</w:t>
      </w:r>
      <w:r>
        <w:rPr>
          <w:rFonts w:hAnsi="宋体"/>
          <w:color w:val="auto"/>
          <w:szCs w:val="21"/>
          <w:highlight w:val="none"/>
        </w:rPr>
        <w:t>投标保证金是为了保护招标人免遭因投标人的行为而蒙受损失。招标人在因投标人的行为受到损害时可根据本须知的规定没收投标人的投标保证金。</w:t>
      </w:r>
    </w:p>
    <w:p>
      <w:pPr>
        <w:spacing w:line="400" w:lineRule="exact"/>
        <w:ind w:left="8" w:leftChars="4" w:firstLine="422" w:firstLineChars="200"/>
        <w:jc w:val="left"/>
        <w:rPr>
          <w:color w:val="auto"/>
          <w:szCs w:val="21"/>
          <w:highlight w:val="none"/>
        </w:rPr>
      </w:pPr>
      <w:r>
        <w:rPr>
          <w:b/>
          <w:color w:val="auto"/>
          <w:szCs w:val="21"/>
          <w:highlight w:val="none"/>
        </w:rPr>
        <w:t>12.4</w:t>
      </w:r>
      <w:r>
        <w:rPr>
          <w:rFonts w:hAnsi="宋体"/>
          <w:color w:val="auto"/>
          <w:szCs w:val="21"/>
          <w:highlight w:val="none"/>
        </w:rPr>
        <w:t>投标时出示招标代理</w:t>
      </w:r>
      <w:r>
        <w:rPr>
          <w:rFonts w:hint="eastAsia" w:hAnsi="宋体"/>
          <w:color w:val="auto"/>
          <w:szCs w:val="21"/>
          <w:highlight w:val="none"/>
        </w:rPr>
        <w:t>（或招标人）</w:t>
      </w:r>
      <w:r>
        <w:rPr>
          <w:rFonts w:hAnsi="宋体"/>
          <w:color w:val="auto"/>
          <w:szCs w:val="21"/>
          <w:highlight w:val="none"/>
        </w:rPr>
        <w:t>开具的缴款凭证或说明。</w:t>
      </w:r>
    </w:p>
    <w:p>
      <w:pPr>
        <w:spacing w:line="400" w:lineRule="exact"/>
        <w:ind w:firstLine="422" w:firstLineChars="200"/>
        <w:jc w:val="left"/>
        <w:rPr>
          <w:color w:val="auto"/>
          <w:szCs w:val="21"/>
          <w:highlight w:val="none"/>
        </w:rPr>
      </w:pPr>
      <w:r>
        <w:rPr>
          <w:b/>
          <w:color w:val="auto"/>
          <w:szCs w:val="21"/>
          <w:highlight w:val="none"/>
        </w:rPr>
        <w:t>12.5</w:t>
      </w:r>
      <w:r>
        <w:rPr>
          <w:rFonts w:hAnsi="宋体"/>
          <w:color w:val="auto"/>
          <w:highlight w:val="none"/>
        </w:rPr>
        <w:t>对于未能按要求提交投标保证金的投标，招标人将视为不响应招标文件而予以拒绝。</w:t>
      </w:r>
    </w:p>
    <w:p>
      <w:pPr>
        <w:spacing w:line="400" w:lineRule="exact"/>
        <w:ind w:firstLine="422" w:firstLineChars="200"/>
        <w:jc w:val="left"/>
        <w:rPr>
          <w:color w:val="auto"/>
          <w:szCs w:val="21"/>
          <w:highlight w:val="none"/>
        </w:rPr>
      </w:pPr>
      <w:r>
        <w:rPr>
          <w:b/>
          <w:color w:val="auto"/>
          <w:szCs w:val="21"/>
          <w:highlight w:val="none"/>
        </w:rPr>
        <w:t>12.6</w:t>
      </w:r>
      <w:r>
        <w:rPr>
          <w:rFonts w:hAnsi="宋体"/>
          <w:color w:val="auto"/>
          <w:szCs w:val="21"/>
          <w:highlight w:val="none"/>
        </w:rPr>
        <w:t>未中标的投标人的投标保证金，将在招标人与中标人签订合同后予以退还。</w:t>
      </w:r>
    </w:p>
    <w:p>
      <w:pPr>
        <w:spacing w:line="400" w:lineRule="exact"/>
        <w:ind w:firstLine="422" w:firstLineChars="200"/>
        <w:jc w:val="left"/>
        <w:rPr>
          <w:color w:val="auto"/>
          <w:highlight w:val="none"/>
        </w:rPr>
      </w:pPr>
      <w:r>
        <w:rPr>
          <w:b/>
          <w:color w:val="auto"/>
          <w:highlight w:val="none"/>
        </w:rPr>
        <w:t>12.7</w:t>
      </w:r>
      <w:r>
        <w:rPr>
          <w:rFonts w:hAnsi="宋体"/>
          <w:color w:val="auto"/>
          <w:highlight w:val="none"/>
        </w:rPr>
        <w:t>中标的投标人的投标保证金，在交纳履约保证金，并签订合同后，予以退还。</w:t>
      </w:r>
    </w:p>
    <w:p>
      <w:pPr>
        <w:spacing w:line="400" w:lineRule="exact"/>
        <w:ind w:firstLine="422" w:firstLineChars="200"/>
        <w:jc w:val="left"/>
        <w:rPr>
          <w:rFonts w:hAnsi="宋体"/>
          <w:color w:val="auto"/>
          <w:szCs w:val="21"/>
          <w:highlight w:val="none"/>
        </w:rPr>
      </w:pPr>
      <w:r>
        <w:rPr>
          <w:b/>
          <w:color w:val="auto"/>
          <w:highlight w:val="none"/>
        </w:rPr>
        <w:t>12.8</w:t>
      </w:r>
      <w:r>
        <w:rPr>
          <w:rFonts w:hAnsi="宋体"/>
          <w:color w:val="auto"/>
          <w:highlight w:val="none"/>
        </w:rPr>
        <w:t>如投标人有下列任何情况发生时，投标保证金将被没收：</w:t>
      </w: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)投标人在规定的投标有效期内撤销、修改其投标文件</w:t>
      </w:r>
      <w:r>
        <w:rPr>
          <w:rFonts w:hAnsi="宋体"/>
          <w:color w:val="auto"/>
          <w:szCs w:val="21"/>
          <w:highlight w:val="none"/>
        </w:rPr>
        <w:t>或拒绝接受已经承诺确认的条款。</w:t>
      </w: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)中标人在收到中标通知书后，无正当理由拒签合同协议书或未按招标文件规定提交履约担保，或因投标人在投标文件中未如实填报或隐瞒不报投标人的行贿犯罪记录导致取消中标资格的</w:t>
      </w:r>
      <w:r>
        <w:rPr>
          <w:rFonts w:hAnsi="宋体"/>
          <w:color w:val="auto"/>
          <w:szCs w:val="21"/>
          <w:highlight w:val="none"/>
        </w:rPr>
        <w:t>。</w:t>
      </w:r>
      <w:r>
        <w:rPr>
          <w:rFonts w:hint="eastAsia" w:hAnsi="宋体"/>
          <w:color w:val="auto"/>
          <w:szCs w:val="21"/>
          <w:highlight w:val="none"/>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r>
        <w:rPr>
          <w:rFonts w:hAnsi="宋体"/>
          <w:color w:val="auto"/>
          <w:szCs w:val="21"/>
          <w:highlight w:val="none"/>
        </w:rPr>
        <w:t>4</w:t>
      </w:r>
      <w:r>
        <w:rPr>
          <w:rFonts w:hint="eastAsia" w:hAnsi="宋体"/>
          <w:color w:val="auto"/>
          <w:szCs w:val="21"/>
          <w:highlight w:val="none"/>
        </w:rPr>
        <w:t>)</w:t>
      </w:r>
      <w:r>
        <w:rPr>
          <w:rFonts w:hAnsi="宋体"/>
          <w:color w:val="auto"/>
          <w:szCs w:val="21"/>
          <w:highlight w:val="none"/>
        </w:rPr>
        <w:t>经</w:t>
      </w:r>
      <w:r>
        <w:rPr>
          <w:rFonts w:hint="eastAsia" w:hAnsi="宋体"/>
          <w:color w:val="auto"/>
          <w:szCs w:val="21"/>
          <w:highlight w:val="none"/>
        </w:rPr>
        <w:t>评标委员会认定</w:t>
      </w:r>
      <w:r>
        <w:rPr>
          <w:rFonts w:hAnsi="宋体"/>
          <w:color w:val="auto"/>
          <w:szCs w:val="21"/>
          <w:highlight w:val="none"/>
        </w:rPr>
        <w:t>，</w:t>
      </w:r>
      <w:r>
        <w:rPr>
          <w:rFonts w:hint="eastAsia" w:hAnsi="宋体"/>
          <w:color w:val="auto"/>
          <w:szCs w:val="21"/>
          <w:highlight w:val="none"/>
        </w:rPr>
        <w:t>投标人存在串通投标或弄虚作假或有其他违法行为的</w:t>
      </w:r>
      <w:r>
        <w:rPr>
          <w:rFonts w:hAnsi="宋体"/>
          <w:color w:val="auto"/>
          <w:szCs w:val="21"/>
          <w:highlight w:val="none"/>
        </w:rPr>
        <w:t>。</w:t>
      </w:r>
    </w:p>
    <w:p>
      <w:pPr>
        <w:spacing w:line="400" w:lineRule="exact"/>
        <w:ind w:firstLine="420" w:firstLineChars="200"/>
        <w:jc w:val="left"/>
        <w:rPr>
          <w:rFonts w:hAnsi="宋体"/>
          <w:color w:val="auto"/>
          <w:szCs w:val="21"/>
          <w:highlight w:val="none"/>
        </w:rPr>
      </w:pPr>
      <w:r>
        <w:rPr>
          <w:rFonts w:hAnsi="宋体"/>
          <w:color w:val="auto"/>
          <w:szCs w:val="21"/>
          <w:highlight w:val="none"/>
        </w:rPr>
        <w:t>出现上述情形的，</w:t>
      </w:r>
      <w:r>
        <w:rPr>
          <w:rFonts w:hint="eastAsia" w:hAnsi="宋体"/>
          <w:color w:val="auto"/>
          <w:szCs w:val="21"/>
          <w:highlight w:val="none"/>
        </w:rPr>
        <w:t>招标代理（招标人）有权不予退还投标人的投标保证金</w:t>
      </w:r>
      <w:r>
        <w:rPr>
          <w:rFonts w:hAnsi="宋体"/>
          <w:color w:val="auto"/>
          <w:szCs w:val="21"/>
          <w:highlight w:val="none"/>
        </w:rPr>
        <w:t>。</w:t>
      </w:r>
    </w:p>
    <w:p>
      <w:pPr>
        <w:spacing w:line="400" w:lineRule="exact"/>
        <w:jc w:val="left"/>
        <w:rPr>
          <w:b/>
          <w:color w:val="auto"/>
          <w:szCs w:val="21"/>
          <w:highlight w:val="none"/>
        </w:rPr>
      </w:pPr>
      <w:r>
        <w:rPr>
          <w:b/>
          <w:color w:val="auto"/>
          <w:szCs w:val="21"/>
          <w:highlight w:val="none"/>
        </w:rPr>
        <w:t>13.</w:t>
      </w:r>
      <w:r>
        <w:rPr>
          <w:rFonts w:hAnsi="宋体"/>
          <w:b/>
          <w:color w:val="auto"/>
          <w:szCs w:val="21"/>
          <w:highlight w:val="none"/>
        </w:rPr>
        <w:t>投标文件有效期</w:t>
      </w:r>
    </w:p>
    <w:p>
      <w:pPr>
        <w:spacing w:line="400" w:lineRule="exact"/>
        <w:ind w:firstLine="422" w:firstLineChars="200"/>
        <w:jc w:val="left"/>
        <w:rPr>
          <w:color w:val="auto"/>
          <w:szCs w:val="21"/>
          <w:highlight w:val="none"/>
        </w:rPr>
      </w:pPr>
      <w:r>
        <w:rPr>
          <w:b/>
          <w:color w:val="auto"/>
          <w:szCs w:val="21"/>
          <w:highlight w:val="none"/>
        </w:rPr>
        <w:t>13.1</w:t>
      </w:r>
      <w:r>
        <w:rPr>
          <w:rFonts w:hAnsi="宋体"/>
          <w:color w:val="auto"/>
          <w:szCs w:val="21"/>
          <w:highlight w:val="none"/>
        </w:rPr>
        <w:t>投标文件有效期</w:t>
      </w:r>
      <w:r>
        <w:rPr>
          <w:rFonts w:hAnsi="宋体"/>
          <w:bCs/>
          <w:color w:val="auto"/>
          <w:szCs w:val="21"/>
          <w:highlight w:val="none"/>
        </w:rPr>
        <w:t>见投标须知前附表中</w:t>
      </w:r>
      <w:r>
        <w:rPr>
          <w:bCs/>
          <w:color w:val="auto"/>
          <w:szCs w:val="21"/>
          <w:highlight w:val="none"/>
        </w:rPr>
        <w:t>“</w:t>
      </w:r>
      <w:r>
        <w:rPr>
          <w:rFonts w:hAnsi="宋体"/>
          <w:bCs/>
          <w:color w:val="auto"/>
          <w:szCs w:val="21"/>
          <w:highlight w:val="none"/>
        </w:rPr>
        <w:t>序号</w:t>
      </w:r>
      <w:r>
        <w:rPr>
          <w:rFonts w:hint="eastAsia"/>
          <w:bCs/>
          <w:color w:val="auto"/>
          <w:szCs w:val="21"/>
          <w:highlight w:val="none"/>
        </w:rPr>
        <w:t>15</w:t>
      </w:r>
      <w:r>
        <w:rPr>
          <w:bCs/>
          <w:color w:val="auto"/>
          <w:szCs w:val="21"/>
          <w:highlight w:val="none"/>
        </w:rPr>
        <w:t>”</w:t>
      </w:r>
      <w:r>
        <w:rPr>
          <w:rFonts w:hAnsi="宋体"/>
          <w:color w:val="auto"/>
          <w:szCs w:val="21"/>
          <w:highlight w:val="none"/>
        </w:rPr>
        <w:t>，</w:t>
      </w:r>
      <w:r>
        <w:rPr>
          <w:rFonts w:hAnsi="宋体"/>
          <w:b/>
          <w:color w:val="auto"/>
          <w:szCs w:val="21"/>
          <w:highlight w:val="none"/>
        </w:rPr>
        <w:t>有效期不足被视为非响应性文件而予以拒绝。</w:t>
      </w:r>
    </w:p>
    <w:p>
      <w:pPr>
        <w:spacing w:line="400" w:lineRule="exact"/>
        <w:ind w:firstLine="422" w:firstLineChars="200"/>
        <w:jc w:val="left"/>
        <w:rPr>
          <w:b/>
          <w:color w:val="auto"/>
          <w:szCs w:val="21"/>
          <w:highlight w:val="none"/>
        </w:rPr>
      </w:pPr>
      <w:r>
        <w:rPr>
          <w:b/>
          <w:color w:val="auto"/>
          <w:szCs w:val="21"/>
          <w:highlight w:val="none"/>
        </w:rPr>
        <w:t>13.2</w:t>
      </w:r>
      <w:r>
        <w:rPr>
          <w:rFonts w:hint="eastAsia"/>
          <w:bCs/>
          <w:color w:val="auto"/>
          <w:szCs w:val="21"/>
          <w:highlight w:val="none"/>
        </w:rPr>
        <w:t>在投标人须知前附表规定的投标有效期内，投标人不得撤销其投标文件。在投标有效期内，投标人撤销投标文件的，应承担招标文件和法律规定的责任。</w:t>
      </w:r>
    </w:p>
    <w:p>
      <w:pPr>
        <w:spacing w:line="400" w:lineRule="exact"/>
        <w:ind w:firstLine="422" w:firstLineChars="200"/>
        <w:jc w:val="left"/>
        <w:rPr>
          <w:color w:val="auto"/>
          <w:szCs w:val="21"/>
          <w:highlight w:val="none"/>
        </w:rPr>
      </w:pPr>
      <w:r>
        <w:rPr>
          <w:rFonts w:hint="eastAsia"/>
          <w:b/>
          <w:color w:val="auto"/>
          <w:szCs w:val="21"/>
          <w:highlight w:val="none"/>
        </w:rPr>
        <w:t>13.3</w:t>
      </w:r>
      <w:r>
        <w:rPr>
          <w:rFonts w:hAnsi="宋体"/>
          <w:color w:val="auto"/>
          <w:szCs w:val="21"/>
          <w:highlight w:val="none"/>
        </w:rPr>
        <w:t>特殊情况下，在原递交投标文件有效期截止之前，招标人可要求投标人同意延长有效期。这种要求与答复均应以书面形式提交。投标人可拒绝招标人的这种要求，其投标保证金将不会被没收。接受延长有效期的投标人将不会被要求和允许修正其投标文件，而只会被要求相应地延长其投标保证金的有效期。在这种情况下，本须知第</w:t>
      </w:r>
      <w:r>
        <w:rPr>
          <w:color w:val="auto"/>
          <w:szCs w:val="21"/>
          <w:highlight w:val="none"/>
        </w:rPr>
        <w:t>12</w:t>
      </w:r>
      <w:r>
        <w:rPr>
          <w:rFonts w:hAnsi="宋体"/>
          <w:color w:val="auto"/>
          <w:szCs w:val="21"/>
          <w:highlight w:val="none"/>
        </w:rPr>
        <w:t>条有关投标保证金退还和没收规定将在延长了的有效期内继续有效。</w:t>
      </w:r>
    </w:p>
    <w:p>
      <w:pPr>
        <w:spacing w:line="400" w:lineRule="exact"/>
        <w:jc w:val="left"/>
        <w:rPr>
          <w:b/>
          <w:color w:val="auto"/>
          <w:szCs w:val="21"/>
          <w:highlight w:val="none"/>
        </w:rPr>
      </w:pPr>
      <w:r>
        <w:rPr>
          <w:b/>
          <w:color w:val="auto"/>
          <w:szCs w:val="21"/>
          <w:highlight w:val="none"/>
        </w:rPr>
        <w:t>14.</w:t>
      </w:r>
      <w:r>
        <w:rPr>
          <w:rFonts w:hAnsi="宋体"/>
          <w:b/>
          <w:color w:val="auto"/>
          <w:szCs w:val="21"/>
          <w:highlight w:val="none"/>
        </w:rPr>
        <w:t>投标文件的签署及规定</w:t>
      </w:r>
    </w:p>
    <w:p>
      <w:pPr>
        <w:spacing w:line="400" w:lineRule="exact"/>
        <w:ind w:firstLine="422" w:firstLineChars="200"/>
        <w:jc w:val="left"/>
        <w:rPr>
          <w:color w:val="auto"/>
          <w:szCs w:val="21"/>
          <w:highlight w:val="none"/>
        </w:rPr>
      </w:pPr>
      <w:r>
        <w:rPr>
          <w:b/>
          <w:color w:val="auto"/>
          <w:szCs w:val="21"/>
          <w:highlight w:val="none"/>
        </w:rPr>
        <w:t>14.1</w:t>
      </w:r>
      <w:r>
        <w:rPr>
          <w:rFonts w:hAnsi="宋体"/>
          <w:color w:val="auto"/>
          <w:szCs w:val="21"/>
          <w:highlight w:val="none"/>
        </w:rPr>
        <w:t>投标人应填写全称，同时加盖公章。</w:t>
      </w:r>
    </w:p>
    <w:p>
      <w:pPr>
        <w:spacing w:line="400" w:lineRule="exact"/>
        <w:ind w:firstLine="422" w:firstLineChars="200"/>
        <w:jc w:val="left"/>
        <w:rPr>
          <w:color w:val="auto"/>
          <w:szCs w:val="21"/>
          <w:highlight w:val="none"/>
        </w:rPr>
      </w:pPr>
      <w:r>
        <w:rPr>
          <w:b/>
          <w:color w:val="auto"/>
          <w:szCs w:val="21"/>
          <w:highlight w:val="none"/>
        </w:rPr>
        <w:t>14.2</w:t>
      </w:r>
      <w:r>
        <w:rPr>
          <w:rFonts w:hAnsi="宋体"/>
          <w:color w:val="auto"/>
          <w:szCs w:val="21"/>
          <w:highlight w:val="none"/>
        </w:rPr>
        <w:t>投标人应准备一份正本、</w:t>
      </w:r>
      <w:r>
        <w:rPr>
          <w:rFonts w:hint="eastAsia" w:hAnsi="宋体"/>
          <w:color w:val="auto"/>
          <w:szCs w:val="21"/>
          <w:highlight w:val="none"/>
        </w:rPr>
        <w:t>二</w:t>
      </w:r>
      <w:r>
        <w:rPr>
          <w:rFonts w:hAnsi="宋体"/>
          <w:color w:val="auto"/>
          <w:szCs w:val="21"/>
          <w:highlight w:val="none"/>
        </w:rPr>
        <w:t>份副本，</w:t>
      </w:r>
      <w:r>
        <w:rPr>
          <w:rStyle w:val="21"/>
          <w:rFonts w:hAnsi="宋体"/>
          <w:color w:val="auto"/>
          <w:highlight w:val="none"/>
        </w:rPr>
        <w:t>电子</w:t>
      </w:r>
      <w:r>
        <w:rPr>
          <w:rStyle w:val="21"/>
          <w:rFonts w:hint="eastAsia" w:hAnsi="宋体"/>
          <w:color w:val="auto"/>
          <w:highlight w:val="none"/>
        </w:rPr>
        <w:t>（盖章）</w:t>
      </w:r>
      <w:r>
        <w:rPr>
          <w:rStyle w:val="21"/>
          <w:rFonts w:hAnsi="宋体"/>
          <w:color w:val="auto"/>
          <w:highlight w:val="none"/>
        </w:rPr>
        <w:t>版本一份</w:t>
      </w:r>
      <w:r>
        <w:rPr>
          <w:rFonts w:hint="eastAsia" w:ascii="Calibri" w:hAnsi="宋体"/>
          <w:color w:val="auto"/>
          <w:szCs w:val="21"/>
          <w:highlight w:val="none"/>
        </w:rPr>
        <w:t>（含正本全部内容）</w:t>
      </w:r>
      <w:r>
        <w:rPr>
          <w:rStyle w:val="21"/>
          <w:rFonts w:hAnsi="宋体"/>
          <w:color w:val="auto"/>
          <w:highlight w:val="none"/>
        </w:rPr>
        <w:t>。</w:t>
      </w:r>
      <w:r>
        <w:rPr>
          <w:rFonts w:hAnsi="宋体"/>
          <w:color w:val="auto"/>
          <w:szCs w:val="21"/>
          <w:highlight w:val="none"/>
        </w:rPr>
        <w:t>在每一份投标文件上要注明</w:t>
      </w:r>
      <w:r>
        <w:rPr>
          <w:color w:val="auto"/>
          <w:szCs w:val="21"/>
          <w:highlight w:val="none"/>
        </w:rPr>
        <w:t>“</w:t>
      </w:r>
      <w:r>
        <w:rPr>
          <w:rFonts w:hAnsi="宋体"/>
          <w:color w:val="auto"/>
          <w:szCs w:val="21"/>
          <w:highlight w:val="none"/>
        </w:rPr>
        <w:t>正本</w:t>
      </w:r>
      <w:r>
        <w:rPr>
          <w:color w:val="auto"/>
          <w:szCs w:val="21"/>
          <w:highlight w:val="none"/>
        </w:rPr>
        <w:t>”</w:t>
      </w:r>
      <w:r>
        <w:rPr>
          <w:rFonts w:hAnsi="宋体"/>
          <w:color w:val="auto"/>
          <w:szCs w:val="21"/>
          <w:highlight w:val="none"/>
        </w:rPr>
        <w:t>或</w:t>
      </w:r>
      <w:r>
        <w:rPr>
          <w:color w:val="auto"/>
          <w:szCs w:val="21"/>
          <w:highlight w:val="none"/>
        </w:rPr>
        <w:t>“</w:t>
      </w:r>
      <w:r>
        <w:rPr>
          <w:rFonts w:hAnsi="宋体"/>
          <w:color w:val="auto"/>
          <w:szCs w:val="21"/>
          <w:highlight w:val="none"/>
        </w:rPr>
        <w:t>副本</w:t>
      </w:r>
      <w:r>
        <w:rPr>
          <w:color w:val="auto"/>
          <w:szCs w:val="21"/>
          <w:highlight w:val="none"/>
        </w:rPr>
        <w:t>”</w:t>
      </w:r>
      <w:r>
        <w:rPr>
          <w:rFonts w:hAnsi="宋体"/>
          <w:color w:val="auto"/>
          <w:szCs w:val="21"/>
          <w:highlight w:val="none"/>
        </w:rPr>
        <w:t>字样。如果正本与副本不符，以正本为准。</w:t>
      </w:r>
      <w:r>
        <w:rPr>
          <w:color w:val="auto"/>
          <w:szCs w:val="21"/>
          <w:highlight w:val="none"/>
        </w:rPr>
        <w:t xml:space="preserve"> </w:t>
      </w:r>
    </w:p>
    <w:p>
      <w:pPr>
        <w:spacing w:line="400" w:lineRule="exact"/>
        <w:ind w:firstLine="422" w:firstLineChars="200"/>
        <w:jc w:val="left"/>
        <w:rPr>
          <w:color w:val="auto"/>
          <w:szCs w:val="21"/>
          <w:highlight w:val="none"/>
        </w:rPr>
      </w:pPr>
      <w:r>
        <w:rPr>
          <w:b/>
          <w:color w:val="auto"/>
          <w:szCs w:val="21"/>
          <w:highlight w:val="none"/>
        </w:rPr>
        <w:t>14.3</w:t>
      </w:r>
      <w:r>
        <w:rPr>
          <w:rFonts w:hAnsi="宋体"/>
          <w:color w:val="auto"/>
          <w:szCs w:val="21"/>
          <w:highlight w:val="none"/>
        </w:rPr>
        <w:t>投标文件正本须打印，并由法定代表人或其授权代表签字或盖章，副本可以采用正本复印件。</w:t>
      </w:r>
    </w:p>
    <w:p>
      <w:pPr>
        <w:spacing w:line="400" w:lineRule="exact"/>
        <w:ind w:firstLine="422" w:firstLineChars="200"/>
        <w:jc w:val="left"/>
        <w:rPr>
          <w:color w:val="auto"/>
          <w:szCs w:val="21"/>
          <w:highlight w:val="none"/>
        </w:rPr>
      </w:pPr>
      <w:r>
        <w:rPr>
          <w:b/>
          <w:color w:val="auto"/>
          <w:szCs w:val="21"/>
          <w:highlight w:val="none"/>
        </w:rPr>
        <w:t>14.4</w:t>
      </w:r>
      <w:r>
        <w:rPr>
          <w:rFonts w:hAnsi="宋体"/>
          <w:color w:val="auto"/>
          <w:szCs w:val="21"/>
          <w:highlight w:val="none"/>
        </w:rPr>
        <w:t>除投标人对错处作必要修改外，投标文件中不许有加行、涂抹或改写。若有修改须在涂改处加盖单位公章或者由法定代表人签字，否则其投标作无效标处理。</w:t>
      </w:r>
    </w:p>
    <w:p>
      <w:pPr>
        <w:spacing w:line="400" w:lineRule="exact"/>
        <w:ind w:firstLine="422" w:firstLineChars="200"/>
        <w:jc w:val="left"/>
        <w:rPr>
          <w:b/>
          <w:color w:val="auto"/>
          <w:szCs w:val="21"/>
          <w:highlight w:val="none"/>
        </w:rPr>
      </w:pPr>
      <w:r>
        <w:rPr>
          <w:b/>
          <w:color w:val="auto"/>
          <w:szCs w:val="21"/>
          <w:highlight w:val="none"/>
        </w:rPr>
        <w:t>14.5</w:t>
      </w:r>
      <w:r>
        <w:rPr>
          <w:rFonts w:hAnsi="宋体"/>
          <w:b/>
          <w:color w:val="auto"/>
          <w:highlight w:val="none"/>
        </w:rPr>
        <w:t>投标文件按统一格式、顺序编写，最终合订成册。</w:t>
      </w:r>
    </w:p>
    <w:p>
      <w:pPr>
        <w:spacing w:line="400" w:lineRule="exact"/>
        <w:jc w:val="center"/>
        <w:outlineLvl w:val="0"/>
        <w:rPr>
          <w:rFonts w:hAnsi="宋体"/>
          <w:b/>
          <w:color w:val="auto"/>
          <w:szCs w:val="21"/>
          <w:highlight w:val="none"/>
        </w:rPr>
      </w:pPr>
    </w:p>
    <w:p>
      <w:pPr>
        <w:spacing w:line="400" w:lineRule="exact"/>
        <w:jc w:val="center"/>
        <w:outlineLvl w:val="0"/>
        <w:rPr>
          <w:b/>
          <w:color w:val="auto"/>
          <w:szCs w:val="21"/>
          <w:highlight w:val="none"/>
        </w:rPr>
      </w:pPr>
      <w:r>
        <w:rPr>
          <w:rFonts w:hAnsi="宋体"/>
          <w:b/>
          <w:color w:val="auto"/>
          <w:szCs w:val="21"/>
          <w:highlight w:val="none"/>
        </w:rPr>
        <w:t>（四）投标文件的递交</w:t>
      </w:r>
    </w:p>
    <w:p>
      <w:pPr>
        <w:spacing w:line="400" w:lineRule="exact"/>
        <w:jc w:val="left"/>
        <w:rPr>
          <w:b/>
          <w:color w:val="auto"/>
          <w:szCs w:val="21"/>
          <w:highlight w:val="none"/>
        </w:rPr>
      </w:pPr>
      <w:r>
        <w:rPr>
          <w:b/>
          <w:color w:val="auto"/>
          <w:szCs w:val="21"/>
          <w:highlight w:val="none"/>
        </w:rPr>
        <w:t>15.</w:t>
      </w:r>
      <w:r>
        <w:rPr>
          <w:rFonts w:hAnsi="宋体"/>
          <w:b/>
          <w:color w:val="auto"/>
          <w:szCs w:val="21"/>
          <w:highlight w:val="none"/>
        </w:rPr>
        <w:t>投标文件的密封和递交</w:t>
      </w:r>
    </w:p>
    <w:p>
      <w:pPr>
        <w:spacing w:line="400" w:lineRule="exact"/>
        <w:ind w:firstLine="422" w:firstLineChars="200"/>
        <w:jc w:val="left"/>
        <w:rPr>
          <w:color w:val="auto"/>
          <w:szCs w:val="21"/>
          <w:highlight w:val="none"/>
        </w:rPr>
      </w:pPr>
      <w:r>
        <w:rPr>
          <w:b/>
          <w:color w:val="auto"/>
          <w:szCs w:val="21"/>
          <w:highlight w:val="none"/>
        </w:rPr>
        <w:t>15.1</w:t>
      </w:r>
      <w:r>
        <w:rPr>
          <w:rFonts w:hAnsi="宋体"/>
          <w:color w:val="auto"/>
          <w:szCs w:val="21"/>
          <w:highlight w:val="none"/>
        </w:rPr>
        <w:t>投标人应将投标文件用密封装袋递交，封袋上应加盖投标人单位公章，应注明投标人名称和地址、招标内容、项目编号，并注明</w:t>
      </w:r>
      <w:r>
        <w:rPr>
          <w:color w:val="auto"/>
          <w:szCs w:val="21"/>
          <w:highlight w:val="none"/>
        </w:rPr>
        <w:t>“</w:t>
      </w:r>
      <w:r>
        <w:rPr>
          <w:rFonts w:hint="eastAsia"/>
          <w:color w:val="auto"/>
          <w:szCs w:val="21"/>
          <w:highlight w:val="none"/>
        </w:rPr>
        <w:t xml:space="preserve"> </w:t>
      </w:r>
      <w:r>
        <w:rPr>
          <w:color w:val="auto"/>
          <w:szCs w:val="21"/>
          <w:highlight w:val="none"/>
          <w:u w:val="single"/>
        </w:rPr>
        <w:t xml:space="preserve">      </w:t>
      </w:r>
      <w:r>
        <w:rPr>
          <w:rFonts w:hAnsi="宋体"/>
          <w:color w:val="auto"/>
          <w:szCs w:val="21"/>
          <w:highlight w:val="none"/>
        </w:rPr>
        <w:t>年</w:t>
      </w:r>
      <w:r>
        <w:rPr>
          <w:i/>
          <w:iCs/>
          <w:color w:val="auto"/>
          <w:szCs w:val="21"/>
          <w:highlight w:val="none"/>
          <w:u w:val="single"/>
        </w:rPr>
        <w:t xml:space="preserve">     </w:t>
      </w:r>
      <w:r>
        <w:rPr>
          <w:rFonts w:hAnsi="宋体"/>
          <w:color w:val="auto"/>
          <w:szCs w:val="21"/>
          <w:highlight w:val="none"/>
        </w:rPr>
        <w:t>月</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日</w:t>
      </w:r>
      <w:r>
        <w:rPr>
          <w:rFonts w:hint="eastAsia"/>
          <w:color w:val="auto"/>
          <w:szCs w:val="21"/>
          <w:highlight w:val="none"/>
          <w:u w:val="single"/>
        </w:rPr>
        <w:t xml:space="preserve"> </w:t>
      </w:r>
      <w:r>
        <w:rPr>
          <w:color w:val="auto"/>
          <w:szCs w:val="21"/>
          <w:highlight w:val="none"/>
          <w:u w:val="single"/>
        </w:rPr>
        <w:t xml:space="preserve">    </w:t>
      </w:r>
      <w:r>
        <w:rPr>
          <w:rFonts w:hAnsi="宋体"/>
          <w:color w:val="auto"/>
          <w:szCs w:val="21"/>
          <w:highlight w:val="none"/>
        </w:rPr>
        <w:t>时前不准启封</w:t>
      </w:r>
      <w:r>
        <w:rPr>
          <w:color w:val="auto"/>
          <w:szCs w:val="21"/>
          <w:highlight w:val="none"/>
        </w:rPr>
        <w:t>”</w:t>
      </w:r>
      <w:r>
        <w:rPr>
          <w:rFonts w:hAnsi="宋体"/>
          <w:color w:val="auto"/>
          <w:szCs w:val="21"/>
          <w:highlight w:val="none"/>
        </w:rPr>
        <w:t>的字样。</w:t>
      </w:r>
    </w:p>
    <w:p>
      <w:pPr>
        <w:spacing w:line="400" w:lineRule="exact"/>
        <w:ind w:firstLine="422" w:firstLineChars="200"/>
        <w:jc w:val="left"/>
        <w:rPr>
          <w:color w:val="auto"/>
          <w:szCs w:val="21"/>
          <w:highlight w:val="none"/>
        </w:rPr>
      </w:pPr>
      <w:r>
        <w:rPr>
          <w:b/>
          <w:color w:val="auto"/>
          <w:szCs w:val="21"/>
          <w:highlight w:val="none"/>
        </w:rPr>
        <w:t>15.2</w:t>
      </w:r>
      <w:r>
        <w:rPr>
          <w:rFonts w:hAnsi="宋体"/>
          <w:color w:val="auto"/>
          <w:szCs w:val="21"/>
          <w:highlight w:val="none"/>
        </w:rPr>
        <w:t>投标文件应由专人递交。投标人应将投标文件按上述要求的规定进行密封和标记后，按投标人须知前附表中指明的时间和地址送至投标地点。因不按本招标文件要求进行密封、标记和递交的，或其它一切非招标人原因导致的投标失误，责任由投标人自负。</w:t>
      </w:r>
      <w:r>
        <w:rPr>
          <w:color w:val="auto"/>
          <w:szCs w:val="21"/>
          <w:highlight w:val="none"/>
        </w:rPr>
        <w:t xml:space="preserve">  </w:t>
      </w:r>
    </w:p>
    <w:p>
      <w:pPr>
        <w:spacing w:line="400" w:lineRule="exact"/>
        <w:jc w:val="left"/>
        <w:rPr>
          <w:b/>
          <w:color w:val="auto"/>
          <w:szCs w:val="21"/>
          <w:highlight w:val="none"/>
        </w:rPr>
      </w:pPr>
      <w:r>
        <w:rPr>
          <w:b/>
          <w:color w:val="auto"/>
          <w:szCs w:val="21"/>
          <w:highlight w:val="none"/>
        </w:rPr>
        <w:t>16.</w:t>
      </w:r>
      <w:r>
        <w:rPr>
          <w:rFonts w:hAnsi="宋体"/>
          <w:b/>
          <w:color w:val="auto"/>
          <w:szCs w:val="21"/>
          <w:highlight w:val="none"/>
        </w:rPr>
        <w:t>递交投标文件的截止时间</w:t>
      </w:r>
    </w:p>
    <w:p>
      <w:pPr>
        <w:spacing w:line="400" w:lineRule="exact"/>
        <w:ind w:firstLine="422" w:firstLineChars="200"/>
        <w:jc w:val="left"/>
        <w:rPr>
          <w:color w:val="auto"/>
          <w:szCs w:val="21"/>
          <w:highlight w:val="none"/>
        </w:rPr>
      </w:pPr>
      <w:r>
        <w:rPr>
          <w:b/>
          <w:color w:val="auto"/>
          <w:szCs w:val="21"/>
          <w:highlight w:val="none"/>
        </w:rPr>
        <w:t>16.1</w:t>
      </w:r>
      <w:r>
        <w:rPr>
          <w:rFonts w:hAnsi="宋体"/>
          <w:color w:val="auto"/>
          <w:szCs w:val="21"/>
          <w:highlight w:val="none"/>
        </w:rPr>
        <w:t>投标人应在不迟于前附表中规定的截止日期和时间将投标文件递交至前附表中指明的地址。</w:t>
      </w:r>
    </w:p>
    <w:p>
      <w:pPr>
        <w:spacing w:line="400" w:lineRule="exact"/>
        <w:ind w:firstLine="422" w:firstLineChars="200"/>
        <w:jc w:val="left"/>
        <w:rPr>
          <w:color w:val="auto"/>
          <w:szCs w:val="21"/>
          <w:highlight w:val="none"/>
        </w:rPr>
      </w:pPr>
      <w:r>
        <w:rPr>
          <w:b/>
          <w:color w:val="auto"/>
          <w:szCs w:val="21"/>
          <w:highlight w:val="none"/>
        </w:rPr>
        <w:t>16.2</w:t>
      </w:r>
      <w:r>
        <w:rPr>
          <w:rFonts w:hAnsi="宋体"/>
          <w:color w:val="auto"/>
          <w:szCs w:val="21"/>
          <w:highlight w:val="none"/>
        </w:rPr>
        <w:t>招标人可以按本须知第</w:t>
      </w:r>
      <w:r>
        <w:rPr>
          <w:color w:val="auto"/>
          <w:szCs w:val="21"/>
          <w:highlight w:val="none"/>
        </w:rPr>
        <w:t>8</w:t>
      </w:r>
      <w:r>
        <w:rPr>
          <w:rFonts w:hAnsi="宋体"/>
          <w:color w:val="auto"/>
          <w:szCs w:val="21"/>
          <w:highlight w:val="none"/>
        </w:rPr>
        <w:t>条规定，通过修改招标文件适当延长截止时间。在此情况下，招标代理机构、招标人和投标人受截止时间制约的所有权利和义务均应延长至新的截止日期。</w:t>
      </w:r>
    </w:p>
    <w:p>
      <w:pPr>
        <w:spacing w:line="400" w:lineRule="exact"/>
        <w:jc w:val="left"/>
        <w:rPr>
          <w:b/>
          <w:color w:val="auto"/>
          <w:szCs w:val="21"/>
          <w:highlight w:val="none"/>
        </w:rPr>
      </w:pPr>
      <w:r>
        <w:rPr>
          <w:b/>
          <w:color w:val="auto"/>
          <w:szCs w:val="21"/>
          <w:highlight w:val="none"/>
        </w:rPr>
        <w:t>17.</w:t>
      </w:r>
      <w:r>
        <w:rPr>
          <w:rFonts w:hAnsi="宋体"/>
          <w:b/>
          <w:color w:val="auto"/>
          <w:szCs w:val="21"/>
          <w:highlight w:val="none"/>
        </w:rPr>
        <w:t>投标文件有下列情形之一的，招标人不予受理：</w:t>
      </w:r>
    </w:p>
    <w:p>
      <w:pPr>
        <w:spacing w:line="400" w:lineRule="exact"/>
        <w:ind w:firstLine="422" w:firstLineChars="200"/>
        <w:jc w:val="left"/>
        <w:rPr>
          <w:color w:val="auto"/>
          <w:szCs w:val="21"/>
          <w:highlight w:val="none"/>
        </w:rPr>
      </w:pPr>
      <w:r>
        <w:rPr>
          <w:b/>
          <w:color w:val="auto"/>
          <w:szCs w:val="21"/>
          <w:highlight w:val="none"/>
        </w:rPr>
        <w:t>17.1</w:t>
      </w:r>
      <w:r>
        <w:rPr>
          <w:rFonts w:hAnsi="宋体"/>
          <w:color w:val="auto"/>
          <w:szCs w:val="21"/>
          <w:highlight w:val="none"/>
        </w:rPr>
        <w:t>逾期送达的或者未送达指定地点的；</w:t>
      </w:r>
    </w:p>
    <w:p>
      <w:pPr>
        <w:spacing w:line="400" w:lineRule="exact"/>
        <w:ind w:firstLine="422" w:firstLineChars="200"/>
        <w:jc w:val="left"/>
        <w:rPr>
          <w:color w:val="auto"/>
          <w:szCs w:val="21"/>
          <w:highlight w:val="none"/>
        </w:rPr>
      </w:pPr>
      <w:r>
        <w:rPr>
          <w:b/>
          <w:color w:val="auto"/>
          <w:szCs w:val="21"/>
          <w:highlight w:val="none"/>
        </w:rPr>
        <w:t>17.2</w:t>
      </w:r>
      <w:r>
        <w:rPr>
          <w:rFonts w:hAnsi="宋体"/>
          <w:bCs/>
          <w:color w:val="auto"/>
          <w:szCs w:val="21"/>
          <w:highlight w:val="none"/>
        </w:rPr>
        <w:t>未密封的投标文件及由于包装不妥在送达途中严重破损或失散的投标文件</w:t>
      </w:r>
      <w:r>
        <w:rPr>
          <w:rFonts w:hAnsi="宋体"/>
          <w:color w:val="auto"/>
          <w:szCs w:val="21"/>
          <w:highlight w:val="none"/>
        </w:rPr>
        <w:t>；</w:t>
      </w:r>
    </w:p>
    <w:p>
      <w:pPr>
        <w:spacing w:line="400" w:lineRule="exact"/>
        <w:ind w:firstLine="422" w:firstLineChars="200"/>
        <w:jc w:val="left"/>
        <w:rPr>
          <w:color w:val="auto"/>
          <w:szCs w:val="21"/>
          <w:highlight w:val="none"/>
        </w:rPr>
      </w:pPr>
      <w:r>
        <w:rPr>
          <w:b/>
          <w:color w:val="auto"/>
          <w:szCs w:val="21"/>
          <w:highlight w:val="none"/>
        </w:rPr>
        <w:t>17.3</w:t>
      </w:r>
      <w:r>
        <w:rPr>
          <w:rFonts w:hAnsi="宋体"/>
          <w:bCs/>
          <w:color w:val="auto"/>
          <w:szCs w:val="21"/>
          <w:highlight w:val="none"/>
        </w:rPr>
        <w:t>以电讯形式递交的投标文件。</w:t>
      </w:r>
    </w:p>
    <w:p>
      <w:pPr>
        <w:spacing w:line="400" w:lineRule="exact"/>
        <w:jc w:val="left"/>
        <w:rPr>
          <w:b/>
          <w:color w:val="auto"/>
          <w:szCs w:val="21"/>
          <w:highlight w:val="none"/>
        </w:rPr>
      </w:pPr>
      <w:r>
        <w:rPr>
          <w:b/>
          <w:color w:val="auto"/>
          <w:szCs w:val="21"/>
          <w:highlight w:val="none"/>
        </w:rPr>
        <w:t>18.</w:t>
      </w:r>
      <w:r>
        <w:rPr>
          <w:rFonts w:hAnsi="宋体"/>
          <w:b/>
          <w:color w:val="auto"/>
          <w:szCs w:val="21"/>
          <w:highlight w:val="none"/>
        </w:rPr>
        <w:t>投标文件的修改和撤销</w:t>
      </w:r>
    </w:p>
    <w:p>
      <w:pPr>
        <w:spacing w:line="400" w:lineRule="exact"/>
        <w:ind w:firstLine="422" w:firstLineChars="200"/>
        <w:jc w:val="left"/>
        <w:rPr>
          <w:color w:val="auto"/>
          <w:szCs w:val="21"/>
          <w:highlight w:val="none"/>
        </w:rPr>
      </w:pPr>
      <w:r>
        <w:rPr>
          <w:b/>
          <w:color w:val="auto"/>
          <w:szCs w:val="21"/>
          <w:highlight w:val="none"/>
        </w:rPr>
        <w:t>18.1</w:t>
      </w:r>
      <w:r>
        <w:rPr>
          <w:rFonts w:hAnsi="宋体"/>
          <w:color w:val="auto"/>
          <w:szCs w:val="21"/>
          <w:highlight w:val="none"/>
        </w:rPr>
        <w:t>投标人在招标文件要求提交投标文件的截止时间前可以补充、修改或者撤回已提交的投标文件，并书面通知招标人，补充、修改的内容为投标文件的组成部分。撤回投标应以书面形式并经法定代表人或授权代表人签署后送达到招标人。</w:t>
      </w:r>
    </w:p>
    <w:p>
      <w:pPr>
        <w:spacing w:line="400" w:lineRule="exact"/>
        <w:ind w:firstLine="422" w:firstLineChars="200"/>
        <w:jc w:val="left"/>
        <w:rPr>
          <w:color w:val="auto"/>
          <w:szCs w:val="21"/>
          <w:highlight w:val="none"/>
        </w:rPr>
      </w:pPr>
      <w:r>
        <w:rPr>
          <w:b/>
          <w:color w:val="auto"/>
          <w:szCs w:val="21"/>
          <w:highlight w:val="none"/>
        </w:rPr>
        <w:t>18.2</w:t>
      </w:r>
      <w:r>
        <w:rPr>
          <w:rFonts w:hAnsi="宋体"/>
          <w:color w:val="auto"/>
          <w:szCs w:val="21"/>
          <w:highlight w:val="none"/>
        </w:rPr>
        <w:t>投标人的修改或撤回通知书应按本须知对投标文件的规定进行编制、密封、标记和递交。</w:t>
      </w:r>
    </w:p>
    <w:p>
      <w:pPr>
        <w:spacing w:line="400" w:lineRule="exact"/>
        <w:ind w:firstLine="422" w:firstLineChars="200"/>
        <w:jc w:val="left"/>
        <w:rPr>
          <w:color w:val="auto"/>
          <w:szCs w:val="21"/>
          <w:highlight w:val="none"/>
        </w:rPr>
      </w:pPr>
      <w:r>
        <w:rPr>
          <w:b/>
          <w:color w:val="auto"/>
          <w:szCs w:val="21"/>
          <w:highlight w:val="none"/>
        </w:rPr>
        <w:t>18.3</w:t>
      </w:r>
      <w:r>
        <w:rPr>
          <w:rFonts w:hAnsi="宋体"/>
          <w:color w:val="auto"/>
          <w:szCs w:val="21"/>
          <w:highlight w:val="none"/>
        </w:rPr>
        <w:t>在投标截止时间之后，投标人不得对其投标文件做任何修改。</w:t>
      </w:r>
    </w:p>
    <w:p>
      <w:pPr>
        <w:spacing w:line="400" w:lineRule="exact"/>
        <w:ind w:firstLine="422" w:firstLineChars="200"/>
        <w:jc w:val="left"/>
        <w:rPr>
          <w:color w:val="auto"/>
          <w:szCs w:val="21"/>
          <w:highlight w:val="none"/>
        </w:rPr>
      </w:pPr>
      <w:r>
        <w:rPr>
          <w:b/>
          <w:color w:val="auto"/>
          <w:szCs w:val="21"/>
          <w:highlight w:val="none"/>
        </w:rPr>
        <w:t>18.4</w:t>
      </w:r>
      <w:r>
        <w:rPr>
          <w:rFonts w:hAnsi="宋体"/>
          <w:color w:val="auto"/>
          <w:szCs w:val="21"/>
          <w:highlight w:val="none"/>
        </w:rPr>
        <w:t>从投标截止时间至投标人在承诺书格式中确定的有效期期满这段时间内，投标人不得撤回其投标文件，否则其投标保证金将按照本须知的规定被没收。</w:t>
      </w:r>
    </w:p>
    <w:p>
      <w:pPr>
        <w:spacing w:line="400" w:lineRule="exact"/>
        <w:jc w:val="center"/>
        <w:outlineLvl w:val="0"/>
        <w:rPr>
          <w:rFonts w:hAnsi="宋体"/>
          <w:b/>
          <w:color w:val="auto"/>
          <w:szCs w:val="21"/>
          <w:highlight w:val="none"/>
        </w:rPr>
      </w:pPr>
    </w:p>
    <w:p>
      <w:pPr>
        <w:spacing w:line="400" w:lineRule="exact"/>
        <w:jc w:val="center"/>
        <w:outlineLvl w:val="0"/>
        <w:rPr>
          <w:b/>
          <w:color w:val="auto"/>
          <w:szCs w:val="21"/>
          <w:highlight w:val="none"/>
        </w:rPr>
      </w:pPr>
      <w:r>
        <w:rPr>
          <w:rFonts w:hAnsi="宋体"/>
          <w:b/>
          <w:color w:val="auto"/>
          <w:szCs w:val="21"/>
          <w:highlight w:val="none"/>
        </w:rPr>
        <w:t>（五）开标和评标</w:t>
      </w:r>
    </w:p>
    <w:p>
      <w:pPr>
        <w:spacing w:line="400" w:lineRule="exact"/>
        <w:jc w:val="left"/>
        <w:rPr>
          <w:b/>
          <w:color w:val="auto"/>
          <w:szCs w:val="21"/>
          <w:highlight w:val="none"/>
        </w:rPr>
      </w:pPr>
      <w:r>
        <w:rPr>
          <w:b/>
          <w:color w:val="auto"/>
          <w:szCs w:val="21"/>
          <w:highlight w:val="none"/>
        </w:rPr>
        <w:t>19</w:t>
      </w:r>
      <w:r>
        <w:rPr>
          <w:rFonts w:hAnsi="宋体"/>
          <w:b/>
          <w:color w:val="auto"/>
          <w:szCs w:val="21"/>
          <w:highlight w:val="none"/>
        </w:rPr>
        <w:t>．开标</w:t>
      </w:r>
    </w:p>
    <w:p>
      <w:pPr>
        <w:spacing w:line="400" w:lineRule="exact"/>
        <w:ind w:firstLine="422" w:firstLineChars="200"/>
        <w:jc w:val="left"/>
        <w:rPr>
          <w:color w:val="auto"/>
          <w:highlight w:val="none"/>
        </w:rPr>
      </w:pPr>
      <w:r>
        <w:rPr>
          <w:b/>
          <w:color w:val="auto"/>
          <w:szCs w:val="21"/>
          <w:highlight w:val="none"/>
        </w:rPr>
        <w:t>19</w:t>
      </w:r>
      <w:r>
        <w:rPr>
          <w:b/>
          <w:color w:val="auto"/>
          <w:highlight w:val="none"/>
        </w:rPr>
        <w:t>.1</w:t>
      </w:r>
      <w:r>
        <w:rPr>
          <w:rFonts w:hAnsi="宋体"/>
          <w:color w:val="auto"/>
          <w:highlight w:val="none"/>
        </w:rPr>
        <w:t>招标人在招标公告及投标人须知前附表规定的时间和地点公开开标。</w:t>
      </w:r>
    </w:p>
    <w:p>
      <w:pPr>
        <w:spacing w:line="400" w:lineRule="exact"/>
        <w:ind w:firstLine="422" w:firstLineChars="200"/>
        <w:jc w:val="left"/>
        <w:rPr>
          <w:color w:val="auto"/>
          <w:highlight w:val="none"/>
        </w:rPr>
      </w:pPr>
      <w:r>
        <w:rPr>
          <w:b/>
          <w:color w:val="auto"/>
          <w:szCs w:val="21"/>
          <w:highlight w:val="none"/>
        </w:rPr>
        <w:t>19</w:t>
      </w:r>
      <w:r>
        <w:rPr>
          <w:b/>
          <w:color w:val="auto"/>
          <w:highlight w:val="none"/>
        </w:rPr>
        <w:t>.2</w:t>
      </w:r>
      <w:r>
        <w:rPr>
          <w:rFonts w:hAnsi="宋体"/>
          <w:color w:val="auto"/>
          <w:highlight w:val="none"/>
        </w:rPr>
        <w:t>开标时，邀请投标人代表查验投标文件密封情况，确认无误后拆封唱标。</w:t>
      </w:r>
    </w:p>
    <w:p>
      <w:pPr>
        <w:spacing w:line="400" w:lineRule="exact"/>
        <w:ind w:firstLine="422" w:firstLineChars="200"/>
        <w:jc w:val="left"/>
        <w:rPr>
          <w:b/>
          <w:color w:val="auto"/>
          <w:highlight w:val="none"/>
        </w:rPr>
      </w:pPr>
      <w:r>
        <w:rPr>
          <w:b/>
          <w:color w:val="auto"/>
          <w:szCs w:val="21"/>
          <w:highlight w:val="none"/>
        </w:rPr>
        <w:t>19</w:t>
      </w:r>
      <w:r>
        <w:rPr>
          <w:b/>
          <w:color w:val="auto"/>
          <w:highlight w:val="none"/>
        </w:rPr>
        <w:t>.3</w:t>
      </w:r>
      <w:r>
        <w:rPr>
          <w:rFonts w:hAnsi="宋体"/>
          <w:color w:val="auto"/>
          <w:highlight w:val="none"/>
        </w:rPr>
        <w:t>投标人的法定代表人或其授权代表应在开标记录上签字确认。投标人的法定代表人或其授权代表未在开标记录上签字的，均视为对开标记录结果予以默认。开标结束后，如发现开标结果与投标文件不一致者，除评标委员会认定的特殊情况应另行处理外，其开标结果不予纠正。</w:t>
      </w:r>
    </w:p>
    <w:p>
      <w:pPr>
        <w:spacing w:line="400" w:lineRule="exact"/>
        <w:ind w:firstLine="422" w:firstLineChars="200"/>
        <w:jc w:val="left"/>
        <w:rPr>
          <w:color w:val="auto"/>
          <w:szCs w:val="21"/>
          <w:highlight w:val="none"/>
        </w:rPr>
      </w:pPr>
      <w:r>
        <w:rPr>
          <w:b/>
          <w:color w:val="auto"/>
          <w:szCs w:val="21"/>
          <w:highlight w:val="none"/>
        </w:rPr>
        <w:t>19</w:t>
      </w:r>
      <w:r>
        <w:rPr>
          <w:b/>
          <w:color w:val="auto"/>
          <w:highlight w:val="none"/>
        </w:rPr>
        <w:t>.4</w:t>
      </w:r>
      <w:r>
        <w:rPr>
          <w:rFonts w:hAnsi="宋体"/>
          <w:color w:val="auto"/>
          <w:highlight w:val="none"/>
        </w:rPr>
        <w:t>至投标截止时间，送达投标文件的投标人少于三个的，招标人将依法重新组织招标。</w:t>
      </w:r>
    </w:p>
    <w:p>
      <w:pPr>
        <w:spacing w:line="400" w:lineRule="exact"/>
        <w:jc w:val="left"/>
        <w:rPr>
          <w:b/>
          <w:color w:val="auto"/>
          <w:szCs w:val="21"/>
          <w:highlight w:val="none"/>
        </w:rPr>
      </w:pPr>
      <w:r>
        <w:rPr>
          <w:b/>
          <w:color w:val="auto"/>
          <w:szCs w:val="21"/>
          <w:highlight w:val="none"/>
        </w:rPr>
        <w:t>20.</w:t>
      </w:r>
      <w:r>
        <w:rPr>
          <w:rFonts w:hAnsi="宋体"/>
          <w:b/>
          <w:color w:val="auto"/>
          <w:szCs w:val="21"/>
          <w:highlight w:val="none"/>
        </w:rPr>
        <w:t>澄清</w:t>
      </w:r>
    </w:p>
    <w:p>
      <w:pPr>
        <w:spacing w:line="400" w:lineRule="exact"/>
        <w:ind w:firstLine="422" w:firstLineChars="200"/>
        <w:jc w:val="left"/>
        <w:rPr>
          <w:rFonts w:hAnsi="宋体"/>
          <w:color w:val="auto"/>
          <w:szCs w:val="21"/>
          <w:highlight w:val="none"/>
        </w:rPr>
      </w:pPr>
      <w:r>
        <w:rPr>
          <w:b/>
          <w:color w:val="auto"/>
          <w:szCs w:val="21"/>
          <w:highlight w:val="none"/>
        </w:rPr>
        <w:t>20.1</w:t>
      </w:r>
      <w:r>
        <w:rPr>
          <w:rFonts w:hAnsi="宋体"/>
          <w:color w:val="auto"/>
          <w:szCs w:val="21"/>
          <w:highlight w:val="none"/>
        </w:rPr>
        <w:t>有助于对投标文件的审查、评价和比较，评标委员会可分别要求投标人澄清其投标文件，有关澄清的要求和答复应以书面形式进行，但不允许更改投标报价或投标实质性内容（按照本须知第</w:t>
      </w:r>
      <w:r>
        <w:rPr>
          <w:color w:val="auto"/>
          <w:szCs w:val="21"/>
          <w:highlight w:val="none"/>
        </w:rPr>
        <w:t>23</w:t>
      </w:r>
      <w:r>
        <w:rPr>
          <w:rFonts w:hAnsi="宋体"/>
          <w:color w:val="auto"/>
          <w:szCs w:val="21"/>
          <w:highlight w:val="none"/>
        </w:rPr>
        <w:t>条规定校核时发现的算术错误不在此列）。</w:t>
      </w:r>
    </w:p>
    <w:p>
      <w:pPr>
        <w:spacing w:line="400" w:lineRule="exact"/>
        <w:jc w:val="left"/>
        <w:rPr>
          <w:b/>
          <w:color w:val="auto"/>
          <w:szCs w:val="21"/>
          <w:highlight w:val="none"/>
        </w:rPr>
      </w:pPr>
      <w:r>
        <w:rPr>
          <w:b/>
          <w:color w:val="auto"/>
          <w:szCs w:val="21"/>
          <w:highlight w:val="none"/>
        </w:rPr>
        <w:t>21.</w:t>
      </w:r>
      <w:r>
        <w:rPr>
          <w:rFonts w:hAnsi="宋体"/>
          <w:b/>
          <w:color w:val="auto"/>
          <w:szCs w:val="21"/>
          <w:highlight w:val="none"/>
        </w:rPr>
        <w:t>对投标人的资格审查</w:t>
      </w:r>
    </w:p>
    <w:p>
      <w:pPr>
        <w:spacing w:line="400" w:lineRule="exact"/>
        <w:ind w:firstLine="420" w:firstLineChars="200"/>
        <w:jc w:val="left"/>
        <w:rPr>
          <w:color w:val="auto"/>
          <w:szCs w:val="21"/>
          <w:highlight w:val="none"/>
        </w:rPr>
      </w:pPr>
      <w:r>
        <w:rPr>
          <w:rFonts w:hAnsi="宋体"/>
          <w:color w:val="auto"/>
          <w:szCs w:val="21"/>
          <w:highlight w:val="none"/>
        </w:rPr>
        <w:t>由评标委员会按招标文件的规定对投标人进行资格审查，即采用资格后审方式。</w:t>
      </w:r>
    </w:p>
    <w:p>
      <w:pPr>
        <w:spacing w:line="400" w:lineRule="exact"/>
        <w:jc w:val="left"/>
        <w:rPr>
          <w:b/>
          <w:color w:val="auto"/>
          <w:szCs w:val="21"/>
          <w:highlight w:val="none"/>
        </w:rPr>
      </w:pPr>
      <w:r>
        <w:rPr>
          <w:b/>
          <w:color w:val="auto"/>
          <w:szCs w:val="21"/>
          <w:highlight w:val="none"/>
        </w:rPr>
        <w:t>22.</w:t>
      </w:r>
      <w:r>
        <w:rPr>
          <w:rFonts w:hAnsi="宋体"/>
          <w:b/>
          <w:color w:val="auto"/>
          <w:szCs w:val="21"/>
          <w:highlight w:val="none"/>
        </w:rPr>
        <w:t>对投标文件的</w:t>
      </w:r>
      <w:r>
        <w:rPr>
          <w:rFonts w:hint="eastAsia" w:hAnsi="宋体"/>
          <w:b/>
          <w:color w:val="auto"/>
          <w:szCs w:val="21"/>
          <w:highlight w:val="none"/>
        </w:rPr>
        <w:t>符合性</w:t>
      </w:r>
      <w:r>
        <w:rPr>
          <w:rFonts w:hAnsi="宋体"/>
          <w:b/>
          <w:color w:val="auto"/>
          <w:szCs w:val="21"/>
          <w:highlight w:val="none"/>
        </w:rPr>
        <w:t>评审</w:t>
      </w:r>
    </w:p>
    <w:p>
      <w:pPr>
        <w:spacing w:line="400" w:lineRule="exact"/>
        <w:ind w:firstLine="420" w:firstLineChars="200"/>
        <w:jc w:val="left"/>
        <w:rPr>
          <w:b/>
          <w:color w:val="auto"/>
          <w:szCs w:val="21"/>
          <w:highlight w:val="none"/>
        </w:rPr>
      </w:pPr>
      <w:r>
        <w:rPr>
          <w:rFonts w:hAnsi="宋体"/>
          <w:color w:val="auto"/>
          <w:szCs w:val="21"/>
          <w:highlight w:val="none"/>
        </w:rPr>
        <w:t>在详细评审之前，评标委员会将要对每份投标文件进行</w:t>
      </w:r>
      <w:r>
        <w:rPr>
          <w:rFonts w:hint="eastAsia" w:hAnsi="宋体"/>
          <w:color w:val="auto"/>
          <w:szCs w:val="21"/>
          <w:highlight w:val="none"/>
        </w:rPr>
        <w:t>符合性</w:t>
      </w:r>
      <w:r>
        <w:rPr>
          <w:rFonts w:hAnsi="宋体"/>
          <w:color w:val="auto"/>
          <w:szCs w:val="21"/>
          <w:highlight w:val="none"/>
        </w:rPr>
        <w:t>评审。</w:t>
      </w:r>
      <w:r>
        <w:rPr>
          <w:rFonts w:hint="eastAsia" w:hAnsi="宋体"/>
          <w:color w:val="auto"/>
          <w:szCs w:val="21"/>
          <w:highlight w:val="none"/>
        </w:rPr>
        <w:t>符合性审查</w:t>
      </w:r>
      <w:r>
        <w:rPr>
          <w:rFonts w:hAnsi="宋体"/>
          <w:color w:val="auto"/>
          <w:szCs w:val="21"/>
          <w:highlight w:val="none"/>
        </w:rPr>
        <w:t>不合格者，不再进入下一步评审。</w:t>
      </w:r>
    </w:p>
    <w:p>
      <w:pPr>
        <w:spacing w:line="400" w:lineRule="exact"/>
        <w:jc w:val="left"/>
        <w:rPr>
          <w:b/>
          <w:color w:val="auto"/>
          <w:szCs w:val="21"/>
          <w:highlight w:val="none"/>
        </w:rPr>
      </w:pPr>
      <w:r>
        <w:rPr>
          <w:b/>
          <w:color w:val="auto"/>
          <w:szCs w:val="21"/>
          <w:highlight w:val="none"/>
        </w:rPr>
        <w:t xml:space="preserve">23. </w:t>
      </w:r>
      <w:r>
        <w:rPr>
          <w:rFonts w:hAnsi="宋体"/>
          <w:b/>
          <w:color w:val="auto"/>
          <w:szCs w:val="21"/>
          <w:highlight w:val="none"/>
        </w:rPr>
        <w:t>对投标文件的详细评审</w:t>
      </w:r>
    </w:p>
    <w:p>
      <w:pPr>
        <w:spacing w:line="400" w:lineRule="exact"/>
        <w:ind w:firstLine="422" w:firstLineChars="200"/>
        <w:jc w:val="left"/>
        <w:rPr>
          <w:color w:val="auto"/>
          <w:szCs w:val="21"/>
          <w:highlight w:val="none"/>
        </w:rPr>
      </w:pPr>
      <w:r>
        <w:rPr>
          <w:b/>
          <w:color w:val="auto"/>
          <w:szCs w:val="21"/>
          <w:highlight w:val="none"/>
        </w:rPr>
        <w:t>23.1</w:t>
      </w:r>
      <w:r>
        <w:rPr>
          <w:rFonts w:hAnsi="宋体"/>
          <w:color w:val="auto"/>
          <w:szCs w:val="21"/>
          <w:highlight w:val="none"/>
        </w:rPr>
        <w:t>在详细评审中，算术错误的修正原则如下：</w:t>
      </w:r>
    </w:p>
    <w:p>
      <w:pPr>
        <w:spacing w:line="400" w:lineRule="exact"/>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）如果用数字表示的金额和用文字表示的金额不一致时，以有利于招标人的金额为准；若单价计算的结果与总价不一致，以单价为准修改总价；</w:t>
      </w:r>
    </w:p>
    <w:p>
      <w:pPr>
        <w:snapToGrid w:val="0"/>
        <w:spacing w:line="400" w:lineRule="exact"/>
        <w:ind w:firstLine="420" w:firstLineChars="200"/>
        <w:rPr>
          <w:rFonts w:hAnsi="宋体"/>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w:t>
      </w:r>
      <w:r>
        <w:rPr>
          <w:rStyle w:val="22"/>
          <w:rFonts w:hint="eastAsia" w:ascii="宋体" w:hAnsi="宋体" w:cs="宋体"/>
          <w:color w:val="auto"/>
          <w:highlight w:val="none"/>
        </w:rPr>
        <w:t>①投标文件中开标一览表（报价表）内容与投标文件中相应内容不一致的，以开标一览表（报价表）为准；②大写金额和小写金额不一致的，以大写金额为准；③单价金额小数点或者百分比有明显错位的，以开标一览表的总价为准，并修改单价；④总价金额与按单价汇总金额不一致的，以单价金额计算结果为准。同时出现两种以上不一致的，按照上述规定的顺序修正。</w:t>
      </w:r>
    </w:p>
    <w:p>
      <w:pPr>
        <w:spacing w:line="400" w:lineRule="exact"/>
        <w:ind w:firstLine="420" w:firstLineChars="200"/>
        <w:jc w:val="left"/>
        <w:rPr>
          <w:color w:val="auto"/>
          <w:szCs w:val="21"/>
          <w:highlight w:val="none"/>
        </w:rPr>
      </w:pPr>
      <w:r>
        <w:rPr>
          <w:rFonts w:hint="eastAsia" w:hAnsi="宋体"/>
          <w:color w:val="auto"/>
          <w:szCs w:val="21"/>
          <w:highlight w:val="none"/>
        </w:rPr>
        <w:t>（3）</w:t>
      </w:r>
      <w:r>
        <w:rPr>
          <w:rFonts w:hAnsi="宋体"/>
          <w:color w:val="auto"/>
          <w:szCs w:val="21"/>
          <w:highlight w:val="none"/>
        </w:rPr>
        <w:t>招标人将按上述修正错误的方法调整投标文件中的报价，在征得投标人同意后，调整后的报价对投标人起约束作用。</w:t>
      </w:r>
      <w:r>
        <w:rPr>
          <w:color w:val="auto"/>
          <w:szCs w:val="21"/>
          <w:highlight w:val="none"/>
        </w:rPr>
        <w:t xml:space="preserve"> </w:t>
      </w:r>
    </w:p>
    <w:p>
      <w:pPr>
        <w:spacing w:line="400" w:lineRule="exact"/>
        <w:jc w:val="left"/>
        <w:rPr>
          <w:color w:val="auto"/>
          <w:szCs w:val="21"/>
          <w:highlight w:val="none"/>
        </w:rPr>
      </w:pPr>
      <w:r>
        <w:rPr>
          <w:b/>
          <w:color w:val="auto"/>
          <w:szCs w:val="21"/>
          <w:highlight w:val="none"/>
        </w:rPr>
        <w:t>23.2</w:t>
      </w:r>
      <w:r>
        <w:rPr>
          <w:rFonts w:hAnsi="宋体"/>
          <w:color w:val="auto"/>
          <w:szCs w:val="21"/>
          <w:highlight w:val="none"/>
        </w:rPr>
        <w:t>具体评审办法按第六章评标办法</w:t>
      </w:r>
    </w:p>
    <w:p>
      <w:pPr>
        <w:spacing w:line="400" w:lineRule="exact"/>
        <w:jc w:val="left"/>
        <w:rPr>
          <w:b/>
          <w:color w:val="auto"/>
          <w:highlight w:val="none"/>
        </w:rPr>
      </w:pPr>
      <w:r>
        <w:rPr>
          <w:b/>
          <w:color w:val="auto"/>
          <w:highlight w:val="none"/>
        </w:rPr>
        <w:t xml:space="preserve">24. </w:t>
      </w:r>
      <w:r>
        <w:rPr>
          <w:rFonts w:hAnsi="宋体"/>
          <w:b/>
          <w:color w:val="auto"/>
          <w:highlight w:val="none"/>
        </w:rPr>
        <w:t>投标文件的澄清</w:t>
      </w:r>
    </w:p>
    <w:p>
      <w:pPr>
        <w:spacing w:line="400" w:lineRule="exact"/>
        <w:ind w:left="-2" w:firstLine="422" w:firstLineChars="200"/>
        <w:jc w:val="left"/>
        <w:rPr>
          <w:color w:val="auto"/>
          <w:highlight w:val="none"/>
        </w:rPr>
      </w:pPr>
      <w:r>
        <w:rPr>
          <w:b/>
          <w:color w:val="auto"/>
          <w:highlight w:val="none"/>
        </w:rPr>
        <w:t>24.1</w:t>
      </w:r>
      <w:r>
        <w:rPr>
          <w:rFonts w:hAnsi="宋体"/>
          <w:color w:val="auto"/>
          <w:highlight w:val="none"/>
        </w:rPr>
        <w:t>为了有助于对投标文件进行审查、评估和比较，评标委员会有权向投标人质疑，请投标人澄清其投标内容。投标人的授权代表应按照招标人通知的时间、地点进行答疑和澄清。</w:t>
      </w:r>
    </w:p>
    <w:p>
      <w:pPr>
        <w:spacing w:line="400" w:lineRule="exact"/>
        <w:ind w:firstLine="422" w:firstLineChars="200"/>
        <w:jc w:val="left"/>
        <w:rPr>
          <w:color w:val="auto"/>
          <w:highlight w:val="none"/>
        </w:rPr>
      </w:pPr>
      <w:r>
        <w:rPr>
          <w:b/>
          <w:color w:val="auto"/>
          <w:highlight w:val="none"/>
        </w:rPr>
        <w:t>24.2</w:t>
      </w:r>
      <w:r>
        <w:rPr>
          <w:rFonts w:hAnsi="宋体"/>
          <w:color w:val="auto"/>
          <w:highlight w:val="none"/>
        </w:rPr>
        <w:t>重要澄清的答复应是书面的，但不得对投标内容进行实质性修改。</w:t>
      </w:r>
    </w:p>
    <w:p>
      <w:pPr>
        <w:spacing w:line="400" w:lineRule="exact"/>
        <w:jc w:val="left"/>
        <w:rPr>
          <w:b/>
          <w:color w:val="auto"/>
          <w:szCs w:val="21"/>
          <w:highlight w:val="none"/>
        </w:rPr>
      </w:pPr>
      <w:r>
        <w:rPr>
          <w:b/>
          <w:color w:val="auto"/>
          <w:szCs w:val="21"/>
          <w:highlight w:val="none"/>
        </w:rPr>
        <w:t xml:space="preserve">25.  </w:t>
      </w:r>
      <w:r>
        <w:rPr>
          <w:rFonts w:hAnsi="宋体"/>
          <w:b/>
          <w:color w:val="auto"/>
          <w:szCs w:val="21"/>
          <w:highlight w:val="none"/>
        </w:rPr>
        <w:t>评标</w:t>
      </w:r>
    </w:p>
    <w:p>
      <w:pPr>
        <w:spacing w:line="400" w:lineRule="exact"/>
        <w:ind w:left="517" w:hanging="517" w:hangingChars="245"/>
        <w:jc w:val="left"/>
        <w:rPr>
          <w:b/>
          <w:color w:val="auto"/>
          <w:szCs w:val="21"/>
          <w:highlight w:val="none"/>
        </w:rPr>
      </w:pPr>
      <w:r>
        <w:rPr>
          <w:rFonts w:hAnsi="宋体"/>
          <w:b/>
          <w:color w:val="auto"/>
          <w:szCs w:val="21"/>
          <w:highlight w:val="none"/>
        </w:rPr>
        <w:t>见第六章</w:t>
      </w:r>
      <w:r>
        <w:rPr>
          <w:b/>
          <w:color w:val="auto"/>
          <w:szCs w:val="21"/>
          <w:highlight w:val="none"/>
        </w:rPr>
        <w:t xml:space="preserve"> </w:t>
      </w:r>
      <w:r>
        <w:rPr>
          <w:rFonts w:hAnsi="宋体"/>
          <w:b/>
          <w:color w:val="auto"/>
          <w:szCs w:val="21"/>
          <w:highlight w:val="none"/>
        </w:rPr>
        <w:t>评标办法。</w:t>
      </w:r>
    </w:p>
    <w:p>
      <w:pPr>
        <w:spacing w:line="400" w:lineRule="exact"/>
        <w:jc w:val="left"/>
        <w:rPr>
          <w:b/>
          <w:color w:val="auto"/>
          <w:szCs w:val="21"/>
          <w:highlight w:val="none"/>
        </w:rPr>
      </w:pPr>
      <w:r>
        <w:rPr>
          <w:b/>
          <w:color w:val="auto"/>
          <w:szCs w:val="21"/>
          <w:highlight w:val="none"/>
        </w:rPr>
        <w:t xml:space="preserve">26.  </w:t>
      </w:r>
      <w:r>
        <w:rPr>
          <w:rFonts w:hAnsi="宋体"/>
          <w:b/>
          <w:color w:val="auto"/>
          <w:szCs w:val="21"/>
          <w:highlight w:val="none"/>
        </w:rPr>
        <w:t>保密</w:t>
      </w:r>
    </w:p>
    <w:p>
      <w:pPr>
        <w:spacing w:line="400" w:lineRule="exact"/>
        <w:ind w:firstLine="422" w:firstLineChars="200"/>
        <w:jc w:val="left"/>
        <w:rPr>
          <w:color w:val="auto"/>
          <w:szCs w:val="21"/>
          <w:highlight w:val="none"/>
        </w:rPr>
      </w:pPr>
      <w:r>
        <w:rPr>
          <w:b/>
          <w:color w:val="auto"/>
          <w:szCs w:val="21"/>
          <w:highlight w:val="none"/>
        </w:rPr>
        <w:t>26.1</w:t>
      </w:r>
      <w:r>
        <w:rPr>
          <w:rFonts w:hAnsi="宋体"/>
          <w:color w:val="auto"/>
          <w:szCs w:val="21"/>
          <w:highlight w:val="none"/>
        </w:rPr>
        <w:t>有关投标文件的审查、澄清、评估和比较以及有关授予合同的意向的一切情况都不得透露给任何投标人或与上述评标工作无关的人员。</w:t>
      </w:r>
    </w:p>
    <w:p>
      <w:pPr>
        <w:spacing w:line="400" w:lineRule="exact"/>
        <w:ind w:firstLine="422" w:firstLineChars="200"/>
        <w:jc w:val="left"/>
        <w:rPr>
          <w:color w:val="auto"/>
          <w:szCs w:val="21"/>
          <w:highlight w:val="none"/>
        </w:rPr>
      </w:pPr>
      <w:r>
        <w:rPr>
          <w:b/>
          <w:color w:val="auto"/>
          <w:szCs w:val="21"/>
          <w:highlight w:val="none"/>
        </w:rPr>
        <w:t>26.2</w:t>
      </w:r>
      <w:r>
        <w:rPr>
          <w:rFonts w:hAnsi="宋体"/>
          <w:color w:val="auto"/>
          <w:szCs w:val="21"/>
          <w:highlight w:val="none"/>
        </w:rPr>
        <w:t>投标人不得干扰评标委员会的评标活动，否则将废除其投标。</w:t>
      </w:r>
    </w:p>
    <w:p>
      <w:pPr>
        <w:snapToGrid w:val="0"/>
        <w:spacing w:line="400" w:lineRule="exact"/>
        <w:jc w:val="center"/>
        <w:rPr>
          <w:rFonts w:hAnsi="宋体"/>
          <w:b/>
          <w:color w:val="auto"/>
          <w:szCs w:val="21"/>
          <w:highlight w:val="none"/>
        </w:rPr>
      </w:pPr>
    </w:p>
    <w:p>
      <w:pPr>
        <w:snapToGrid w:val="0"/>
        <w:spacing w:line="400" w:lineRule="exact"/>
        <w:jc w:val="center"/>
        <w:rPr>
          <w:b/>
          <w:color w:val="auto"/>
          <w:szCs w:val="21"/>
          <w:highlight w:val="none"/>
        </w:rPr>
      </w:pPr>
      <w:r>
        <w:rPr>
          <w:rFonts w:hAnsi="宋体"/>
          <w:b/>
          <w:color w:val="auto"/>
          <w:szCs w:val="21"/>
          <w:highlight w:val="none"/>
        </w:rPr>
        <w:t>（六）授予合同</w:t>
      </w:r>
    </w:p>
    <w:p>
      <w:pPr>
        <w:spacing w:line="400" w:lineRule="exact"/>
        <w:jc w:val="left"/>
        <w:rPr>
          <w:b/>
          <w:color w:val="auto"/>
          <w:szCs w:val="21"/>
          <w:highlight w:val="none"/>
        </w:rPr>
      </w:pPr>
      <w:r>
        <w:rPr>
          <w:b/>
          <w:color w:val="auto"/>
          <w:szCs w:val="21"/>
          <w:highlight w:val="none"/>
        </w:rPr>
        <w:t xml:space="preserve">27. </w:t>
      </w:r>
      <w:r>
        <w:rPr>
          <w:rFonts w:hAnsi="宋体"/>
          <w:b/>
          <w:color w:val="auto"/>
          <w:szCs w:val="21"/>
          <w:highlight w:val="none"/>
        </w:rPr>
        <w:t>资格最终审查</w:t>
      </w:r>
    </w:p>
    <w:p>
      <w:pPr>
        <w:snapToGrid w:val="0"/>
        <w:spacing w:line="400" w:lineRule="exact"/>
        <w:ind w:firstLine="420" w:firstLineChars="200"/>
        <w:jc w:val="left"/>
        <w:rPr>
          <w:color w:val="auto"/>
          <w:szCs w:val="21"/>
          <w:highlight w:val="none"/>
        </w:rPr>
      </w:pPr>
      <w:r>
        <w:rPr>
          <w:rFonts w:hAnsi="宋体"/>
          <w:color w:val="auto"/>
          <w:szCs w:val="21"/>
          <w:highlight w:val="none"/>
        </w:rPr>
        <w:t>招标人有权审查中标候选人的财务、技术、信誉等，确定是否能圆满地履行合同。</w:t>
      </w:r>
    </w:p>
    <w:p>
      <w:pPr>
        <w:spacing w:line="400" w:lineRule="exact"/>
        <w:jc w:val="left"/>
        <w:rPr>
          <w:b/>
          <w:color w:val="auto"/>
          <w:szCs w:val="21"/>
          <w:highlight w:val="none"/>
        </w:rPr>
      </w:pPr>
      <w:r>
        <w:rPr>
          <w:b/>
          <w:color w:val="auto"/>
          <w:szCs w:val="21"/>
          <w:highlight w:val="none"/>
        </w:rPr>
        <w:t xml:space="preserve">28. </w:t>
      </w:r>
      <w:r>
        <w:rPr>
          <w:rFonts w:hAnsi="宋体"/>
          <w:b/>
          <w:color w:val="auto"/>
          <w:szCs w:val="21"/>
          <w:highlight w:val="none"/>
        </w:rPr>
        <w:t>接受和拒绝任何或所有投标的权力</w:t>
      </w:r>
    </w:p>
    <w:p>
      <w:pPr>
        <w:snapToGrid w:val="0"/>
        <w:spacing w:line="400" w:lineRule="exact"/>
        <w:ind w:firstLine="420" w:firstLineChars="200"/>
        <w:jc w:val="left"/>
        <w:rPr>
          <w:color w:val="auto"/>
          <w:szCs w:val="21"/>
          <w:highlight w:val="none"/>
        </w:rPr>
      </w:pPr>
      <w:r>
        <w:rPr>
          <w:rFonts w:hAnsi="宋体"/>
          <w:color w:val="auto"/>
          <w:szCs w:val="21"/>
          <w:highlight w:val="none"/>
        </w:rPr>
        <w:t>招标人在授予合同之前仍有选择或拒绝任何或全部投标权力，并对所采取行为不作任何解释。</w:t>
      </w:r>
    </w:p>
    <w:p>
      <w:pPr>
        <w:spacing w:line="400" w:lineRule="exact"/>
        <w:rPr>
          <w:rFonts w:hAnsi="宋体"/>
          <w:b/>
          <w:bCs/>
          <w:color w:val="auto"/>
          <w:szCs w:val="21"/>
          <w:highlight w:val="none"/>
        </w:rPr>
      </w:pPr>
      <w:r>
        <w:rPr>
          <w:b/>
          <w:color w:val="auto"/>
          <w:szCs w:val="21"/>
          <w:highlight w:val="none"/>
        </w:rPr>
        <w:t xml:space="preserve">29. </w:t>
      </w:r>
      <w:r>
        <w:rPr>
          <w:rFonts w:hint="eastAsia" w:hAnsi="宋体"/>
          <w:b/>
          <w:bCs/>
          <w:color w:val="auto"/>
          <w:szCs w:val="21"/>
          <w:highlight w:val="none"/>
        </w:rPr>
        <w:t>定标</w:t>
      </w:r>
    </w:p>
    <w:p>
      <w:pPr>
        <w:autoSpaceDE w:val="0"/>
        <w:autoSpaceDN w:val="0"/>
        <w:adjustRightInd w:val="0"/>
        <w:snapToGrid w:val="0"/>
        <w:spacing w:line="400" w:lineRule="exact"/>
        <w:ind w:firstLine="440" w:firstLineChars="200"/>
        <w:rPr>
          <w:rFonts w:ascii="宋体" w:hAnsi="宋体" w:cs="宋体"/>
          <w:color w:val="auto"/>
          <w:kern w:val="0"/>
          <w:sz w:val="22"/>
          <w:highlight w:val="none"/>
        </w:rPr>
      </w:pPr>
      <w:r>
        <w:rPr>
          <w:rFonts w:ascii="宋体" w:hAnsi="宋体" w:cs="宋体"/>
          <w:color w:val="auto"/>
          <w:kern w:val="0"/>
          <w:sz w:val="22"/>
          <w:highlight w:val="none"/>
        </w:rPr>
        <w:t>除投标人须知前附表规定评标委员会直接确定中标人外，招标人依据评标委员会推荐的中标候选人确定中标人。</w:t>
      </w:r>
    </w:p>
    <w:p>
      <w:pPr>
        <w:autoSpaceDE w:val="0"/>
        <w:autoSpaceDN w:val="0"/>
        <w:adjustRightInd w:val="0"/>
        <w:snapToGrid w:val="0"/>
        <w:spacing w:line="400" w:lineRule="exact"/>
        <w:ind w:firstLine="440" w:firstLineChars="200"/>
        <w:rPr>
          <w:b/>
          <w:color w:val="auto"/>
          <w:szCs w:val="21"/>
          <w:highlight w:val="none"/>
        </w:rPr>
      </w:pPr>
      <w:r>
        <w:rPr>
          <w:rFonts w:hint="eastAsia" w:ascii="宋体" w:hAnsi="宋体" w:cs="宋体"/>
          <w:color w:val="auto"/>
          <w:sz w:val="22"/>
          <w:highlight w:val="none"/>
        </w:rPr>
        <w:t>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spacing w:line="400" w:lineRule="exact"/>
        <w:jc w:val="left"/>
        <w:rPr>
          <w:b/>
          <w:color w:val="auto"/>
          <w:szCs w:val="21"/>
          <w:highlight w:val="none"/>
        </w:rPr>
      </w:pPr>
      <w:r>
        <w:rPr>
          <w:rFonts w:hint="eastAsia" w:hAnsi="宋体"/>
          <w:b/>
          <w:color w:val="auto"/>
          <w:szCs w:val="21"/>
          <w:highlight w:val="none"/>
        </w:rPr>
        <w:t>30.</w:t>
      </w:r>
      <w:r>
        <w:rPr>
          <w:rFonts w:hAnsi="宋体"/>
          <w:b/>
          <w:color w:val="auto"/>
          <w:szCs w:val="21"/>
          <w:highlight w:val="none"/>
        </w:rPr>
        <w:t>中标通知</w:t>
      </w:r>
    </w:p>
    <w:p>
      <w:pPr>
        <w:snapToGrid w:val="0"/>
        <w:spacing w:line="400" w:lineRule="exact"/>
        <w:ind w:firstLine="422" w:firstLineChars="200"/>
        <w:jc w:val="left"/>
        <w:rPr>
          <w:color w:val="auto"/>
          <w:szCs w:val="21"/>
          <w:highlight w:val="none"/>
        </w:rPr>
      </w:pPr>
      <w:r>
        <w:rPr>
          <w:rFonts w:hint="eastAsia"/>
          <w:b/>
          <w:color w:val="auto"/>
          <w:szCs w:val="21"/>
          <w:highlight w:val="none"/>
        </w:rPr>
        <w:t>30</w:t>
      </w:r>
      <w:r>
        <w:rPr>
          <w:b/>
          <w:color w:val="auto"/>
          <w:szCs w:val="21"/>
          <w:highlight w:val="none"/>
        </w:rPr>
        <w:t>.1</w:t>
      </w:r>
      <w:r>
        <w:rPr>
          <w:rFonts w:hAnsi="宋体"/>
          <w:color w:val="auto"/>
          <w:szCs w:val="21"/>
          <w:highlight w:val="none"/>
        </w:rPr>
        <w:t>评标结果将公示</w:t>
      </w:r>
      <w:r>
        <w:rPr>
          <w:rFonts w:hint="eastAsia" w:hAnsi="宋体"/>
          <w:color w:val="auto"/>
          <w:szCs w:val="21"/>
          <w:highlight w:val="none"/>
        </w:rPr>
        <w:t>不得少于3日</w:t>
      </w:r>
      <w:r>
        <w:rPr>
          <w:rFonts w:hAnsi="宋体"/>
          <w:color w:val="auto"/>
          <w:szCs w:val="21"/>
          <w:highlight w:val="none"/>
        </w:rPr>
        <w:t>，公示结束后，招标代理将以书面形式发出《中标通知书》，发出时间不超过投标有效期。《中标通知书》一经发出即发生法律效力。</w:t>
      </w:r>
    </w:p>
    <w:p>
      <w:pPr>
        <w:snapToGrid w:val="0"/>
        <w:spacing w:line="400" w:lineRule="exact"/>
        <w:ind w:firstLine="422" w:firstLineChars="200"/>
        <w:jc w:val="left"/>
        <w:rPr>
          <w:color w:val="auto"/>
          <w:szCs w:val="21"/>
          <w:highlight w:val="none"/>
        </w:rPr>
      </w:pPr>
      <w:r>
        <w:rPr>
          <w:rFonts w:hint="eastAsia"/>
          <w:b/>
          <w:color w:val="auto"/>
          <w:szCs w:val="21"/>
          <w:highlight w:val="none"/>
        </w:rPr>
        <w:t>30</w:t>
      </w:r>
      <w:r>
        <w:rPr>
          <w:b/>
          <w:color w:val="auto"/>
          <w:szCs w:val="21"/>
          <w:highlight w:val="none"/>
        </w:rPr>
        <w:t>.2</w:t>
      </w:r>
      <w:r>
        <w:rPr>
          <w:rFonts w:hAnsi="宋体"/>
          <w:color w:val="auto"/>
          <w:szCs w:val="21"/>
          <w:highlight w:val="none"/>
        </w:rPr>
        <w:t>中标通知书将作为签订合同的依据。</w:t>
      </w:r>
    </w:p>
    <w:p>
      <w:pPr>
        <w:snapToGrid w:val="0"/>
        <w:spacing w:line="400" w:lineRule="exact"/>
        <w:ind w:firstLine="422" w:firstLineChars="200"/>
        <w:jc w:val="left"/>
        <w:rPr>
          <w:color w:val="auto"/>
          <w:szCs w:val="21"/>
          <w:highlight w:val="none"/>
        </w:rPr>
      </w:pPr>
      <w:r>
        <w:rPr>
          <w:rFonts w:hint="eastAsia"/>
          <w:b/>
          <w:color w:val="auto"/>
          <w:szCs w:val="21"/>
          <w:highlight w:val="none"/>
        </w:rPr>
        <w:t>30</w:t>
      </w:r>
      <w:r>
        <w:rPr>
          <w:b/>
          <w:color w:val="auto"/>
          <w:szCs w:val="21"/>
          <w:highlight w:val="none"/>
        </w:rPr>
        <w:t>.3</w:t>
      </w:r>
      <w:r>
        <w:rPr>
          <w:color w:val="auto"/>
          <w:szCs w:val="21"/>
          <w:highlight w:val="none"/>
        </w:rPr>
        <w:t xml:space="preserve"> </w:t>
      </w:r>
      <w:r>
        <w:rPr>
          <w:rFonts w:hint="eastAsia" w:hAnsi="宋体"/>
          <w:color w:val="auto"/>
          <w:szCs w:val="21"/>
          <w:highlight w:val="none"/>
        </w:rPr>
        <w:t>招标人不对投标人就评标过程情况以及中标或未中标原因作任何解释，投标人也不得向评标委员会或其他有关人员处获取评标过程的情况和材料。</w:t>
      </w:r>
    </w:p>
    <w:p>
      <w:pPr>
        <w:snapToGrid w:val="0"/>
        <w:spacing w:line="400" w:lineRule="exact"/>
        <w:ind w:firstLine="422" w:firstLineChars="200"/>
        <w:jc w:val="left"/>
        <w:rPr>
          <w:color w:val="auto"/>
          <w:szCs w:val="21"/>
          <w:highlight w:val="none"/>
        </w:rPr>
      </w:pPr>
      <w:r>
        <w:rPr>
          <w:rFonts w:hint="eastAsia"/>
          <w:b/>
          <w:color w:val="auto"/>
          <w:szCs w:val="21"/>
          <w:highlight w:val="none"/>
        </w:rPr>
        <w:t>30</w:t>
      </w:r>
      <w:r>
        <w:rPr>
          <w:b/>
          <w:color w:val="auto"/>
          <w:szCs w:val="21"/>
          <w:highlight w:val="none"/>
        </w:rPr>
        <w:t>.4</w:t>
      </w:r>
      <w:r>
        <w:rPr>
          <w:color w:val="auto"/>
          <w:szCs w:val="21"/>
          <w:highlight w:val="none"/>
        </w:rPr>
        <w:t xml:space="preserve"> </w:t>
      </w:r>
      <w:r>
        <w:rPr>
          <w:rFonts w:hAnsi="宋体"/>
          <w:color w:val="auto"/>
          <w:szCs w:val="21"/>
          <w:highlight w:val="none"/>
        </w:rPr>
        <w:t>在招投标过程中，投标人对招标人施加影响任何行为，都将导致取消投标或中标资格。</w:t>
      </w:r>
    </w:p>
    <w:p>
      <w:pPr>
        <w:spacing w:line="400" w:lineRule="exact"/>
        <w:jc w:val="left"/>
        <w:rPr>
          <w:b/>
          <w:color w:val="auto"/>
          <w:szCs w:val="21"/>
          <w:highlight w:val="none"/>
        </w:rPr>
      </w:pPr>
      <w:r>
        <w:rPr>
          <w:rFonts w:hint="eastAsia"/>
          <w:b/>
          <w:color w:val="auto"/>
          <w:szCs w:val="21"/>
          <w:highlight w:val="none"/>
        </w:rPr>
        <w:t>31</w:t>
      </w:r>
      <w:r>
        <w:rPr>
          <w:b/>
          <w:color w:val="auto"/>
          <w:szCs w:val="21"/>
          <w:highlight w:val="none"/>
        </w:rPr>
        <w:t xml:space="preserve">. </w:t>
      </w:r>
      <w:r>
        <w:rPr>
          <w:rFonts w:hAnsi="宋体"/>
          <w:b/>
          <w:color w:val="auto"/>
          <w:szCs w:val="21"/>
          <w:highlight w:val="none"/>
        </w:rPr>
        <w:t>授予合同时变更数量的权力</w:t>
      </w:r>
    </w:p>
    <w:p>
      <w:pPr>
        <w:snapToGrid w:val="0"/>
        <w:spacing w:line="400" w:lineRule="exact"/>
        <w:ind w:firstLine="420" w:firstLineChars="200"/>
        <w:jc w:val="left"/>
        <w:rPr>
          <w:color w:val="auto"/>
          <w:szCs w:val="21"/>
          <w:highlight w:val="none"/>
        </w:rPr>
      </w:pPr>
      <w:r>
        <w:rPr>
          <w:rFonts w:hAnsi="宋体"/>
          <w:color w:val="auto"/>
          <w:szCs w:val="21"/>
          <w:highlight w:val="none"/>
        </w:rPr>
        <w:t>招标人在授予合同时保留对招标文件中规定的货物数量和服务予增加或减少的权力。</w:t>
      </w:r>
    </w:p>
    <w:p>
      <w:pPr>
        <w:spacing w:line="400" w:lineRule="exact"/>
        <w:jc w:val="left"/>
        <w:rPr>
          <w:b/>
          <w:color w:val="auto"/>
          <w:szCs w:val="21"/>
          <w:highlight w:val="none"/>
        </w:rPr>
      </w:pPr>
      <w:r>
        <w:rPr>
          <w:rFonts w:hint="eastAsia"/>
          <w:b/>
          <w:color w:val="auto"/>
          <w:szCs w:val="21"/>
          <w:highlight w:val="none"/>
        </w:rPr>
        <w:t>32</w:t>
      </w:r>
      <w:r>
        <w:rPr>
          <w:b/>
          <w:color w:val="auto"/>
          <w:szCs w:val="21"/>
          <w:highlight w:val="none"/>
        </w:rPr>
        <w:t xml:space="preserve">. </w:t>
      </w:r>
      <w:r>
        <w:rPr>
          <w:rFonts w:hAnsi="宋体"/>
          <w:b/>
          <w:color w:val="auto"/>
          <w:szCs w:val="21"/>
          <w:highlight w:val="none"/>
        </w:rPr>
        <w:t>签订合同</w:t>
      </w:r>
    </w:p>
    <w:p>
      <w:pPr>
        <w:snapToGrid w:val="0"/>
        <w:spacing w:line="400" w:lineRule="exact"/>
        <w:ind w:firstLine="422" w:firstLineChars="200"/>
        <w:jc w:val="left"/>
        <w:rPr>
          <w:color w:val="auto"/>
          <w:szCs w:val="21"/>
          <w:highlight w:val="none"/>
        </w:rPr>
      </w:pPr>
      <w:r>
        <w:rPr>
          <w:b/>
          <w:color w:val="auto"/>
          <w:szCs w:val="21"/>
          <w:highlight w:val="none"/>
        </w:rPr>
        <w:t>3</w:t>
      </w:r>
      <w:r>
        <w:rPr>
          <w:rFonts w:hint="eastAsia"/>
          <w:b/>
          <w:color w:val="auto"/>
          <w:szCs w:val="21"/>
          <w:highlight w:val="none"/>
        </w:rPr>
        <w:t>2</w:t>
      </w:r>
      <w:r>
        <w:rPr>
          <w:b/>
          <w:color w:val="auto"/>
          <w:szCs w:val="21"/>
          <w:highlight w:val="none"/>
        </w:rPr>
        <w:t>.1</w:t>
      </w:r>
      <w:r>
        <w:rPr>
          <w:rFonts w:hAnsi="宋体"/>
          <w:color w:val="auto"/>
          <w:szCs w:val="21"/>
          <w:highlight w:val="none"/>
        </w:rPr>
        <w:t>中标人接到中标通知书后，按规定交纳履约保证金，并与招标人签订合同。</w:t>
      </w:r>
    </w:p>
    <w:p>
      <w:pPr>
        <w:snapToGrid w:val="0"/>
        <w:spacing w:line="400" w:lineRule="exact"/>
        <w:ind w:firstLine="422" w:firstLineChars="200"/>
        <w:jc w:val="left"/>
        <w:rPr>
          <w:color w:val="auto"/>
          <w:szCs w:val="21"/>
          <w:highlight w:val="none"/>
        </w:rPr>
      </w:pPr>
      <w:r>
        <w:rPr>
          <w:b/>
          <w:color w:val="auto"/>
          <w:szCs w:val="21"/>
          <w:highlight w:val="none"/>
        </w:rPr>
        <w:t>3</w:t>
      </w:r>
      <w:r>
        <w:rPr>
          <w:rFonts w:hint="eastAsia"/>
          <w:b/>
          <w:color w:val="auto"/>
          <w:szCs w:val="21"/>
          <w:highlight w:val="none"/>
        </w:rPr>
        <w:t>2</w:t>
      </w:r>
      <w:r>
        <w:rPr>
          <w:b/>
          <w:color w:val="auto"/>
          <w:szCs w:val="21"/>
          <w:highlight w:val="none"/>
        </w:rPr>
        <w:t>.2</w:t>
      </w:r>
      <w:r>
        <w:rPr>
          <w:rFonts w:hAnsi="宋体"/>
          <w:color w:val="auto"/>
          <w:szCs w:val="21"/>
          <w:highlight w:val="none"/>
        </w:rPr>
        <w:t>招标文件、中标人的投标文件及其澄清文件等，均为签订合同的依据。中标人自接到中标通知书后</w:t>
      </w:r>
      <w:r>
        <w:rPr>
          <w:color w:val="auto"/>
          <w:szCs w:val="21"/>
          <w:highlight w:val="none"/>
        </w:rPr>
        <w:t>30</w:t>
      </w:r>
      <w:r>
        <w:rPr>
          <w:rFonts w:hAnsi="宋体"/>
          <w:color w:val="auto"/>
          <w:szCs w:val="21"/>
          <w:highlight w:val="none"/>
        </w:rPr>
        <w:t>天内与招标人签订合同。</w:t>
      </w:r>
      <w:r>
        <w:rPr>
          <w:color w:val="auto"/>
          <w:szCs w:val="21"/>
          <w:highlight w:val="none"/>
        </w:rPr>
        <w:t xml:space="preserve"> </w:t>
      </w:r>
    </w:p>
    <w:p>
      <w:pPr>
        <w:snapToGrid w:val="0"/>
        <w:spacing w:line="400" w:lineRule="exact"/>
        <w:ind w:firstLine="422" w:firstLineChars="200"/>
        <w:jc w:val="left"/>
        <w:rPr>
          <w:color w:val="auto"/>
          <w:szCs w:val="21"/>
          <w:highlight w:val="none"/>
        </w:rPr>
      </w:pPr>
      <w:r>
        <w:rPr>
          <w:b/>
          <w:color w:val="auto"/>
          <w:szCs w:val="21"/>
          <w:highlight w:val="none"/>
        </w:rPr>
        <w:t>3</w:t>
      </w:r>
      <w:r>
        <w:rPr>
          <w:rFonts w:hint="eastAsia"/>
          <w:b/>
          <w:color w:val="auto"/>
          <w:szCs w:val="21"/>
          <w:highlight w:val="none"/>
        </w:rPr>
        <w:t>2</w:t>
      </w:r>
      <w:r>
        <w:rPr>
          <w:b/>
          <w:color w:val="auto"/>
          <w:szCs w:val="21"/>
          <w:highlight w:val="none"/>
        </w:rPr>
        <w:t>.3</w:t>
      </w:r>
      <w:r>
        <w:rPr>
          <w:rFonts w:hint="eastAsia" w:hAnsi="宋体"/>
          <w:color w:val="auto"/>
          <w:szCs w:val="21"/>
          <w:highlight w:val="none"/>
        </w:rPr>
        <w:t>中标人无正当理由拒签合同，在签订合同时向招标人提出招标人不接受的条件，或在接到中标通知书30天内，借故拖延、拒签合同、拒交履约保证金的，招标人有权采取以下措施：1）取消其中标资格；2）投标保证金不予退还；给招标人造成的损失超过投标保证金数额的，还需承担赔偿责任</w:t>
      </w:r>
      <w:r>
        <w:rPr>
          <w:rFonts w:hAnsi="宋体"/>
          <w:color w:val="auto"/>
          <w:szCs w:val="21"/>
          <w:highlight w:val="none"/>
        </w:rPr>
        <w:t>。</w:t>
      </w:r>
    </w:p>
    <w:p>
      <w:pPr>
        <w:snapToGrid w:val="0"/>
        <w:spacing w:line="400" w:lineRule="exact"/>
        <w:ind w:firstLine="422" w:firstLineChars="200"/>
        <w:jc w:val="left"/>
        <w:rPr>
          <w:color w:val="auto"/>
          <w:szCs w:val="21"/>
          <w:highlight w:val="none"/>
        </w:rPr>
      </w:pPr>
      <w:r>
        <w:rPr>
          <w:b/>
          <w:color w:val="auto"/>
          <w:szCs w:val="21"/>
          <w:highlight w:val="none"/>
        </w:rPr>
        <w:t>3</w:t>
      </w:r>
      <w:r>
        <w:rPr>
          <w:rFonts w:hint="eastAsia"/>
          <w:b/>
          <w:color w:val="auto"/>
          <w:szCs w:val="21"/>
          <w:highlight w:val="none"/>
        </w:rPr>
        <w:t>2</w:t>
      </w:r>
      <w:r>
        <w:rPr>
          <w:b/>
          <w:color w:val="auto"/>
          <w:szCs w:val="21"/>
          <w:highlight w:val="none"/>
        </w:rPr>
        <w:t>.4</w:t>
      </w:r>
      <w:r>
        <w:rPr>
          <w:rFonts w:hAnsi="宋体"/>
          <w:color w:val="auto"/>
          <w:szCs w:val="21"/>
          <w:highlight w:val="none"/>
        </w:rPr>
        <w:t>签约后即为招标结束。标书费和投标文件一律不退。</w:t>
      </w:r>
    </w:p>
    <w:p>
      <w:pPr>
        <w:snapToGrid w:val="0"/>
        <w:spacing w:line="400" w:lineRule="exact"/>
        <w:ind w:left="517" w:hanging="517" w:hangingChars="245"/>
        <w:jc w:val="left"/>
        <w:rPr>
          <w:b/>
          <w:color w:val="auto"/>
          <w:szCs w:val="21"/>
          <w:highlight w:val="none"/>
        </w:rPr>
      </w:pPr>
      <w:r>
        <w:rPr>
          <w:rFonts w:hint="eastAsia"/>
          <w:b/>
          <w:color w:val="auto"/>
          <w:szCs w:val="21"/>
          <w:highlight w:val="none"/>
        </w:rPr>
        <w:t>33</w:t>
      </w:r>
      <w:r>
        <w:rPr>
          <w:b/>
          <w:color w:val="auto"/>
          <w:szCs w:val="21"/>
          <w:highlight w:val="none"/>
        </w:rPr>
        <w:t xml:space="preserve">. </w:t>
      </w:r>
      <w:r>
        <w:rPr>
          <w:rFonts w:hAnsi="宋体"/>
          <w:b/>
          <w:color w:val="auto"/>
          <w:szCs w:val="21"/>
          <w:highlight w:val="none"/>
        </w:rPr>
        <w:t>招标代理服务费。</w:t>
      </w:r>
    </w:p>
    <w:p>
      <w:pPr>
        <w:snapToGrid w:val="0"/>
        <w:spacing w:line="400" w:lineRule="exact"/>
        <w:ind w:firstLine="420" w:firstLineChars="200"/>
        <w:jc w:val="left"/>
        <w:rPr>
          <w:rFonts w:hAnsi="宋体"/>
          <w:color w:val="auto"/>
          <w:szCs w:val="21"/>
          <w:highlight w:val="none"/>
        </w:rPr>
      </w:pPr>
      <w:r>
        <w:rPr>
          <w:rFonts w:hAnsi="宋体"/>
          <w:color w:val="auto"/>
          <w:szCs w:val="21"/>
          <w:highlight w:val="none"/>
        </w:rPr>
        <w:t>中标人应在收到中标通知书时，以</w:t>
      </w:r>
      <w:r>
        <w:rPr>
          <w:rFonts w:hint="eastAsia" w:hAnsi="宋体"/>
          <w:color w:val="auto"/>
          <w:szCs w:val="21"/>
          <w:highlight w:val="none"/>
        </w:rPr>
        <w:t>项目</w:t>
      </w:r>
      <w:r>
        <w:rPr>
          <w:rFonts w:hAnsi="宋体"/>
          <w:color w:val="auto"/>
          <w:szCs w:val="21"/>
          <w:highlight w:val="none"/>
        </w:rPr>
        <w:t>总额为计费依据，向招标代理机构按以下所列收费标准的</w:t>
      </w:r>
      <w:r>
        <w:rPr>
          <w:rFonts w:hint="eastAsia"/>
          <w:color w:val="auto"/>
          <w:szCs w:val="21"/>
          <w:highlight w:val="none"/>
          <w:u w:val="single"/>
        </w:rPr>
        <w:t xml:space="preserve"> 60 </w:t>
      </w:r>
      <w:r>
        <w:rPr>
          <w:color w:val="auto"/>
          <w:szCs w:val="21"/>
          <w:highlight w:val="none"/>
          <w:u w:val="single"/>
        </w:rPr>
        <w:t>%</w:t>
      </w:r>
      <w:r>
        <w:rPr>
          <w:rFonts w:hint="eastAsia" w:hAnsi="宋体"/>
          <w:color w:val="auto"/>
          <w:szCs w:val="21"/>
          <w:highlight w:val="none"/>
        </w:rPr>
        <w:t xml:space="preserve"> </w:t>
      </w:r>
      <w:r>
        <w:rPr>
          <w:rFonts w:hAnsi="宋体"/>
          <w:color w:val="auto"/>
          <w:szCs w:val="21"/>
          <w:highlight w:val="none"/>
        </w:rPr>
        <w:t>交纳招标代理服务费（如计算出的代理服务费不到</w:t>
      </w:r>
      <w:r>
        <w:rPr>
          <w:color w:val="auto"/>
          <w:szCs w:val="21"/>
          <w:highlight w:val="none"/>
        </w:rPr>
        <w:t>5000</w:t>
      </w:r>
      <w:r>
        <w:rPr>
          <w:rFonts w:hAnsi="宋体"/>
          <w:color w:val="auto"/>
          <w:szCs w:val="21"/>
          <w:highlight w:val="none"/>
        </w:rPr>
        <w:t>元，按</w:t>
      </w:r>
      <w:r>
        <w:rPr>
          <w:color w:val="auto"/>
          <w:szCs w:val="21"/>
          <w:highlight w:val="none"/>
        </w:rPr>
        <w:t>5000</w:t>
      </w:r>
      <w:r>
        <w:rPr>
          <w:rFonts w:hAnsi="宋体"/>
          <w:color w:val="auto"/>
          <w:szCs w:val="21"/>
          <w:highlight w:val="none"/>
        </w:rPr>
        <w:t>元交纳）。</w:t>
      </w:r>
    </w:p>
    <w:p>
      <w:pPr>
        <w:snapToGrid w:val="0"/>
        <w:spacing w:line="400" w:lineRule="exact"/>
        <w:ind w:firstLine="420" w:firstLineChars="200"/>
        <w:jc w:val="left"/>
        <w:rPr>
          <w:rFonts w:hAnsi="宋体"/>
          <w:color w:val="auto"/>
          <w:szCs w:val="21"/>
          <w:highlight w:val="none"/>
        </w:rPr>
      </w:pPr>
    </w:p>
    <w:p>
      <w:pPr>
        <w:snapToGrid w:val="0"/>
        <w:spacing w:line="400" w:lineRule="exact"/>
        <w:ind w:firstLine="420" w:firstLineChars="200"/>
        <w:jc w:val="left"/>
        <w:rPr>
          <w:rFonts w:hAnsi="宋体"/>
          <w:color w:val="auto"/>
          <w:szCs w:val="21"/>
          <w:highlight w:val="none"/>
        </w:rPr>
      </w:pPr>
      <w:r>
        <w:rPr>
          <w:rFonts w:hAnsi="宋体"/>
          <w:color w:val="auto"/>
          <w:szCs w:val="21"/>
          <w:highlight w:val="none"/>
        </w:rPr>
        <w:t>具体收费标准如下：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2057"/>
        <w:gridCol w:w="2057"/>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544" w:type="dxa"/>
          </w:tcPr>
          <w:p>
            <w:pPr>
              <w:spacing w:line="400" w:lineRule="exact"/>
              <w:ind w:firstLine="1405" w:firstLineChars="500"/>
              <w:rPr>
                <w:rFonts w:ascii="宋体" w:hAnsi="宋体"/>
                <w:b/>
                <w:color w:val="auto"/>
                <w:sz w:val="18"/>
                <w:szCs w:val="18"/>
                <w:highlight w:val="none"/>
              </w:rPr>
            </w:pPr>
            <w:r>
              <w:rPr>
                <w:rFonts w:ascii="宋体" w:hAnsi="宋体"/>
                <w:b/>
                <w:color w:val="auto"/>
                <w:sz w:val="28"/>
                <w:szCs w:val="28"/>
                <w:highlight w:val="none"/>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1602740" cy="584200"/>
                      <wp:effectExtent l="1905" t="4445" r="14605" b="20955"/>
                      <wp:wrapNone/>
                      <wp:docPr id="16" name="直接连接符 16"/>
                      <wp:cNvGraphicFramePr/>
                      <a:graphic xmlns:a="http://schemas.openxmlformats.org/drawingml/2006/main">
                        <a:graphicData uri="http://schemas.microsoft.com/office/word/2010/wordprocessingShape">
                          <wps:wsp>
                            <wps:cNvCnPr/>
                            <wps:spPr>
                              <a:xfrm flipH="1" flipV="1">
                                <a:off x="0" y="0"/>
                                <a:ext cx="1602740" cy="584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9pt;margin-top:-0.5pt;height:46pt;width:126.2pt;z-index:251660288;mso-width-relative:page;mso-height-relative:page;" filled="f" stroked="t" coordsize="21600,21600" o:allowincell="f" o:gfxdata="UEsDBAoAAAAAAIdO4kAAAAAAAAAAAAAAAAAEAAAAZHJzL1BLAwQUAAAACACHTuJAOMFL+9MAAAAJ&#10;AQAADwAAAGRycy9kb3ducmV2LnhtbE1PTW/CMAy9T9p/iDxpN0jK0OhKUw5I/ADYhHYMjWmqJU7X&#10;BMr+/cxpO9l+fnof9eYWvLjimPpIGoq5AoHURttTp+HjfTcrQaRsyBofCTX8YIJN8/hQm8rGifZ4&#10;PeROsAilymhwOQ+VlKl1GEyaxwGJf+c4BpP5HDtpRzOxePByodSrDKYndnBmwK3D9utwCRp8qcrv&#10;43Y1fe4tu+yO3tGq0Pr5qVBrEBlv+Y8M9/gcHRrOdIoXskl4DbOi5C75vvBkwuJluQRx0vDGgGxq&#10;+b9B8wtQSwMEFAAAAAgAh07iQIAWQCP8AQAA8wMAAA4AAABkcnMvZTJvRG9jLnhtbK1TvY4TMRDu&#10;kXgHyz3ZJLqEY5XNFRcOCgSR+OknXjtryX/y+LLJS/ACSHRQUdLzNhyPwdgbAhxNCrawxvPzzXzf&#10;jhdXe2vYTkbU3jV8MhpzJp3wrXbbhr99c/PokjNM4Fow3smGHyTyq+XDB4s+1HLqO29aGRmBOKz7&#10;0PAupVBXFYpOWsCRD9JRUPloIdE1bqs2Qk/o1lTT8Xhe9T62IXohEcm7GoL8iBjPAfRKaSFXXtxa&#10;6dKAGqWBRJSw0wH5skyrlBTplVIoEzMNJ6apnNSE7E0+q+UC6m2E0GlxHAHOGeEeJwvaUdMT1AoS&#10;sNuo/4GyWkSPXqWR8LYaiBRFiMVkfE+b1x0EWbiQ1BhOouP/gxUvd+vIdEubMOfMgaU/fvfh6/f3&#10;n358+0jn3ZfPjCIkUx+wpuxrt47HG4Z1zJz3KlqmjA7PCYUX6122cowYsn2R+3CSW+4TE+SczMfT&#10;xxf0JwTFZpcXtB25UTUg5uoQMT2T3rJsNNxol+WAGnYvMA2pv1Ky2zjWN/zJbDojTKDdVLQTZNpA&#10;/NBtSy16o9sbbUyuwLjdXJvIdpD3o3zHEf5Ky01WgN2QV0I5DepOQvvUtSwdAgnn6MHwPIKVLWdG&#10;0vvKVslMoM05mcTeOBIhyz0InK2Nbw9F9+KnXSgyHfc2L9uf91L9+60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wUv70wAAAAkBAAAPAAAAAAAAAAEAIAAAACIAAABkcnMvZG93bnJldi54bWxQ&#10;SwECFAAUAAAACACHTuJAgBZAI/wBAADzAwAADgAAAAAAAAABACAAAAAiAQAAZHJzL2Uyb0RvYy54&#10;bWxQSwUGAAAAAAYABgBZAQAAkAUAAAAA&#10;">
                      <v:fill on="f" focussize="0,0"/>
                      <v:stroke color="#000000" joinstyle="round"/>
                      <v:imagedata o:title=""/>
                      <o:lock v:ext="edit" aspectratio="f"/>
                    </v:line>
                  </w:pict>
                </mc:Fallback>
              </mc:AlternateContent>
            </w:r>
            <w:r>
              <w:rPr>
                <w:rFonts w:ascii="宋体" w:hAnsi="宋体"/>
                <w:b/>
                <w:color w:val="auto"/>
                <w:sz w:val="18"/>
                <w:szCs w:val="18"/>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K7Wph+gBAADWAwAADgAAAGRycy9lMm9Eb2MueG1srVPNbhMx&#10;EL4j8Q6W72TToFawyqaHhnJBEAl4gIl/spb8J4+bTV6CF0DiBieO3Hkb2sdg7E1TKJcc2IN3PJ75&#10;Zr7P4/nlzlm2VQlN8B0/m0w5U14Eafym4x8/XD97wRlm8BJs8Krje4X8cvH0yXyIrZqFPlipEiMQ&#10;j+0QO97nHNumQdErBzgJUXk61CE5yLRNm0YmGAjd2WY2nV40Q0gypiAUInmX4yE/IKZTAIPWRqhl&#10;EDdO+TyiJmUhEyXsTUS+qN1qrUR+pzWqzGzHiWmuKxUhe13WZjGHdpMg9kYcWoBTWnjEyYHxVPQI&#10;tYQM7CaZf6CcESlg0HkigmtGIlURYnE2faTN+x6iqlxIaoxH0fH/wYq321ViRtIkkCQeHN347ecf&#10;vz59vfv5hdbb798YnZBMQ8SWoq/8Kh12GFepcN7p5Mqf2LBdlXZ/lFbtMhPkvHh+zpm49zcPSTFh&#10;fq2CY8XouDW+MIYWtm8wUyEKvQ8pbuvZ0PGX57MCBzR+mq6dTBeJAvpNzcVgjbw21pYMTJv1lU1s&#10;C2UE6lfoEO5fYaXIErAf4+rROBy9AvnKS5b3kbTx9CZ4acEpyZlV9ISKRYDQZjD2lEgqbT11UBQd&#10;NSzWOsh9lbb66bprj4fRLPP0575mPzzH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kdN+1QAA&#10;AAkBAAAPAAAAAAAAAAEAIAAAACIAAABkcnMvZG93bnJldi54bWxQSwECFAAUAAAACACHTuJAK7Wp&#10;h+gBAADWAwAADgAAAAAAAAABACAAAAAkAQAAZHJzL2Uyb0RvYy54bWxQSwUGAAAAAAYABgBZAQAA&#10;fgUAAAAA&#10;">
                      <v:fill on="f" focussize="0,0"/>
                      <v:stroke color="#000000" joinstyle="round"/>
                      <v:imagedata o:title=""/>
                      <o:lock v:ext="edit" aspectratio="f"/>
                    </v:line>
                  </w:pict>
                </mc:Fallback>
              </mc:AlternateContent>
            </w:r>
            <w:r>
              <w:rPr>
                <w:rFonts w:hint="eastAsia" w:ascii="宋体" w:hAnsi="宋体"/>
                <w:b/>
                <w:color w:val="auto"/>
                <w:sz w:val="18"/>
                <w:szCs w:val="18"/>
                <w:highlight w:val="none"/>
              </w:rPr>
              <w:t xml:space="preserve">服务类型 </w:t>
            </w:r>
          </w:p>
          <w:p>
            <w:pPr>
              <w:spacing w:line="400" w:lineRule="exact"/>
              <w:ind w:firstLine="1175" w:firstLineChars="650"/>
              <w:rPr>
                <w:rFonts w:ascii="宋体" w:hAnsi="宋体"/>
                <w:b/>
                <w:color w:val="auto"/>
                <w:sz w:val="18"/>
                <w:szCs w:val="18"/>
                <w:highlight w:val="none"/>
              </w:rPr>
            </w:pPr>
            <w:r>
              <w:rPr>
                <w:rFonts w:hint="eastAsia" w:ascii="宋体" w:hAnsi="宋体"/>
                <w:b/>
                <w:color w:val="auto"/>
                <w:sz w:val="18"/>
                <w:szCs w:val="18"/>
                <w:highlight w:val="none"/>
              </w:rPr>
              <w:t>费率　　</w:t>
            </w:r>
          </w:p>
          <w:p>
            <w:pPr>
              <w:spacing w:line="400" w:lineRule="exact"/>
              <w:rPr>
                <w:rFonts w:ascii="宋体" w:hAnsi="宋体"/>
                <w:b/>
                <w:color w:val="auto"/>
                <w:sz w:val="18"/>
                <w:szCs w:val="18"/>
                <w:highlight w:val="none"/>
              </w:rPr>
            </w:pPr>
            <w:r>
              <w:rPr>
                <w:rFonts w:hint="eastAsia" w:ascii="宋体" w:hAnsi="宋体"/>
                <w:b/>
                <w:color w:val="auto"/>
                <w:sz w:val="18"/>
                <w:szCs w:val="18"/>
                <w:highlight w:val="none"/>
              </w:rPr>
              <w:t>中标金额（万元）</w:t>
            </w:r>
          </w:p>
        </w:tc>
        <w:tc>
          <w:tcPr>
            <w:tcW w:w="2057" w:type="dxa"/>
            <w:vAlign w:val="center"/>
          </w:tcPr>
          <w:p>
            <w:pPr>
              <w:spacing w:line="400" w:lineRule="exact"/>
              <w:jc w:val="center"/>
              <w:rPr>
                <w:rFonts w:ascii="宋体" w:hAnsi="宋体"/>
                <w:b/>
                <w:color w:val="auto"/>
                <w:sz w:val="18"/>
                <w:szCs w:val="18"/>
                <w:highlight w:val="none"/>
              </w:rPr>
            </w:pPr>
            <w:r>
              <w:rPr>
                <w:rFonts w:hint="eastAsia" w:ascii="宋体" w:hAnsi="宋体"/>
                <w:b/>
                <w:color w:val="auto"/>
                <w:sz w:val="18"/>
                <w:szCs w:val="18"/>
                <w:highlight w:val="none"/>
              </w:rPr>
              <w:t>货物招标</w:t>
            </w:r>
          </w:p>
        </w:tc>
        <w:tc>
          <w:tcPr>
            <w:tcW w:w="2057" w:type="dxa"/>
            <w:vAlign w:val="center"/>
          </w:tcPr>
          <w:p>
            <w:pPr>
              <w:spacing w:line="400" w:lineRule="exact"/>
              <w:jc w:val="center"/>
              <w:rPr>
                <w:rFonts w:ascii="宋体" w:hAnsi="宋体"/>
                <w:b/>
                <w:color w:val="auto"/>
                <w:sz w:val="18"/>
                <w:szCs w:val="18"/>
                <w:highlight w:val="none"/>
              </w:rPr>
            </w:pPr>
            <w:r>
              <w:rPr>
                <w:rFonts w:hint="eastAsia" w:ascii="宋体" w:hAnsi="宋体"/>
                <w:b/>
                <w:color w:val="auto"/>
                <w:sz w:val="18"/>
                <w:szCs w:val="18"/>
                <w:highlight w:val="none"/>
              </w:rPr>
              <w:t>服务招标</w:t>
            </w:r>
          </w:p>
        </w:tc>
        <w:tc>
          <w:tcPr>
            <w:tcW w:w="2057" w:type="dxa"/>
            <w:vAlign w:val="center"/>
          </w:tcPr>
          <w:p>
            <w:pPr>
              <w:spacing w:line="400" w:lineRule="exact"/>
              <w:jc w:val="center"/>
              <w:rPr>
                <w:rFonts w:ascii="宋体" w:hAnsi="宋体"/>
                <w:b/>
                <w:color w:val="auto"/>
                <w:sz w:val="18"/>
                <w:szCs w:val="18"/>
                <w:highlight w:val="none"/>
              </w:rPr>
            </w:pPr>
            <w:r>
              <w:rPr>
                <w:rFonts w:hint="eastAsia" w:ascii="宋体" w:hAnsi="宋体"/>
                <w:b/>
                <w:color w:val="auto"/>
                <w:sz w:val="18"/>
                <w:szCs w:val="18"/>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44"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100以下</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544"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100-500</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1.1%</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0.8%</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544"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500-1000</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0.8%</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0.45%</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544"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1000-5000</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0.5%</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0.25%</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544"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5000-10000</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0.25%</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0.1%</w:t>
            </w:r>
          </w:p>
        </w:tc>
        <w:tc>
          <w:tcPr>
            <w:tcW w:w="2057" w:type="dxa"/>
          </w:tcPr>
          <w:p>
            <w:pPr>
              <w:spacing w:line="400" w:lineRule="exact"/>
              <w:jc w:val="center"/>
              <w:rPr>
                <w:rFonts w:ascii="宋体" w:hAnsi="宋体"/>
                <w:color w:val="auto"/>
                <w:sz w:val="18"/>
                <w:szCs w:val="18"/>
                <w:highlight w:val="none"/>
              </w:rPr>
            </w:pPr>
            <w:r>
              <w:rPr>
                <w:rFonts w:hint="eastAsia" w:ascii="宋体" w:hAnsi="宋体"/>
                <w:color w:val="auto"/>
                <w:sz w:val="18"/>
                <w:szCs w:val="18"/>
                <w:highlight w:val="none"/>
              </w:rPr>
              <w:t>0.2%</w:t>
            </w:r>
          </w:p>
        </w:tc>
      </w:tr>
    </w:tbl>
    <w:p>
      <w:pPr>
        <w:spacing w:line="400" w:lineRule="exact"/>
        <w:ind w:firstLine="420" w:firstLineChars="200"/>
        <w:jc w:val="left"/>
        <w:rPr>
          <w:color w:val="auto"/>
          <w:szCs w:val="21"/>
          <w:highlight w:val="none"/>
        </w:rPr>
      </w:pPr>
      <w:r>
        <w:rPr>
          <w:rFonts w:hAnsi="宋体"/>
          <w:color w:val="auto"/>
          <w:szCs w:val="21"/>
          <w:highlight w:val="none"/>
        </w:rPr>
        <w:t>收费采用差额定率累进计费方式，以中标金额为计算基数，分段累加。</w:t>
      </w:r>
    </w:p>
    <w:p>
      <w:pPr>
        <w:spacing w:line="400" w:lineRule="exact"/>
        <w:ind w:firstLine="420" w:firstLineChars="200"/>
        <w:jc w:val="left"/>
        <w:rPr>
          <w:color w:val="auto"/>
          <w:szCs w:val="21"/>
          <w:highlight w:val="none"/>
        </w:rPr>
      </w:pPr>
      <w:r>
        <w:rPr>
          <w:rFonts w:hAnsi="宋体"/>
          <w:color w:val="auto"/>
          <w:szCs w:val="21"/>
          <w:highlight w:val="none"/>
        </w:rPr>
        <w:t>备注：本项费用在报价表中不单列报价子项，由投标人自行在企业运营成本等或各投标单价中列支</w:t>
      </w:r>
      <w:r>
        <w:rPr>
          <w:rFonts w:hint="eastAsia" w:hAnsi="宋体"/>
          <w:color w:val="auto"/>
          <w:szCs w:val="21"/>
          <w:highlight w:val="none"/>
        </w:rPr>
        <w:t>。</w:t>
      </w:r>
    </w:p>
    <w:p>
      <w:pP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jc w:val="center"/>
        <w:rPr>
          <w:rFonts w:hAnsi="宋体"/>
          <w:b/>
          <w:color w:val="auto"/>
          <w:sz w:val="36"/>
          <w:szCs w:val="36"/>
          <w:highlight w:val="none"/>
        </w:rPr>
      </w:pPr>
    </w:p>
    <w:p>
      <w:pPr>
        <w:rPr>
          <w:rFonts w:hAnsi="宋体"/>
          <w:b/>
          <w:color w:val="auto"/>
          <w:sz w:val="36"/>
          <w:szCs w:val="36"/>
          <w:highlight w:val="none"/>
        </w:rPr>
      </w:pPr>
    </w:p>
    <w:p>
      <w:pPr>
        <w:pStyle w:val="2"/>
        <w:rPr>
          <w:rFonts w:hAnsi="宋体"/>
          <w:b/>
          <w:color w:val="auto"/>
          <w:sz w:val="36"/>
          <w:szCs w:val="36"/>
          <w:highlight w:val="none"/>
        </w:rPr>
      </w:pPr>
    </w:p>
    <w:p>
      <w:pPr>
        <w:pStyle w:val="2"/>
        <w:rPr>
          <w:rFonts w:hAnsi="宋体"/>
          <w:b/>
          <w:color w:val="auto"/>
          <w:sz w:val="36"/>
          <w:szCs w:val="36"/>
          <w:highlight w:val="none"/>
        </w:rPr>
      </w:pPr>
    </w:p>
    <w:p>
      <w:pPr>
        <w:pStyle w:val="2"/>
        <w:rPr>
          <w:rFonts w:hAnsi="宋体"/>
          <w:b/>
          <w:color w:val="auto"/>
          <w:sz w:val="36"/>
          <w:szCs w:val="36"/>
          <w:highlight w:val="none"/>
        </w:rPr>
      </w:pPr>
    </w:p>
    <w:p>
      <w:pPr>
        <w:pStyle w:val="2"/>
        <w:rPr>
          <w:rFonts w:hAnsi="宋体"/>
          <w:b/>
          <w:color w:val="auto"/>
          <w:sz w:val="36"/>
          <w:szCs w:val="36"/>
          <w:highlight w:val="none"/>
        </w:rPr>
      </w:pPr>
    </w:p>
    <w:p>
      <w:pPr>
        <w:pStyle w:val="2"/>
        <w:rPr>
          <w:rFonts w:hAnsi="宋体"/>
          <w:b/>
          <w:color w:val="auto"/>
          <w:sz w:val="36"/>
          <w:szCs w:val="36"/>
          <w:highlight w:val="none"/>
        </w:rPr>
      </w:pPr>
    </w:p>
    <w:p>
      <w:pPr>
        <w:pStyle w:val="2"/>
        <w:rPr>
          <w:rFonts w:hAnsi="宋体"/>
          <w:b/>
          <w:color w:val="auto"/>
          <w:sz w:val="36"/>
          <w:szCs w:val="36"/>
          <w:highlight w:val="none"/>
        </w:rPr>
      </w:pPr>
    </w:p>
    <w:p>
      <w:pPr>
        <w:jc w:val="center"/>
        <w:rPr>
          <w:b/>
          <w:color w:val="auto"/>
          <w:sz w:val="36"/>
          <w:szCs w:val="36"/>
          <w:highlight w:val="none"/>
        </w:rPr>
      </w:pPr>
      <w:r>
        <w:rPr>
          <w:rFonts w:hAnsi="宋体"/>
          <w:b/>
          <w:color w:val="auto"/>
          <w:sz w:val="36"/>
          <w:szCs w:val="36"/>
          <w:highlight w:val="none"/>
        </w:rPr>
        <w:t>第三章</w:t>
      </w:r>
      <w:r>
        <w:rPr>
          <w:b/>
          <w:color w:val="auto"/>
          <w:sz w:val="36"/>
          <w:szCs w:val="36"/>
          <w:highlight w:val="none"/>
        </w:rPr>
        <w:t xml:space="preserve"> </w:t>
      </w:r>
      <w:r>
        <w:rPr>
          <w:rFonts w:hint="eastAsia" w:hAnsi="宋体"/>
          <w:b/>
          <w:color w:val="auto"/>
          <w:sz w:val="36"/>
          <w:szCs w:val="36"/>
          <w:highlight w:val="none"/>
        </w:rPr>
        <w:t>招标</w:t>
      </w:r>
      <w:r>
        <w:rPr>
          <w:rFonts w:hAnsi="宋体"/>
          <w:b/>
          <w:color w:val="auto"/>
          <w:sz w:val="36"/>
          <w:szCs w:val="36"/>
          <w:highlight w:val="none"/>
        </w:rPr>
        <w:t>内容及要求</w:t>
      </w:r>
    </w:p>
    <w:p>
      <w:pPr>
        <w:spacing w:line="360" w:lineRule="auto"/>
        <w:ind w:firstLine="478" w:firstLineChars="228"/>
        <w:rPr>
          <w:rFonts w:asciiTheme="minorEastAsia" w:hAnsiTheme="minorEastAsia" w:eastAsiaTheme="minorEastAsia" w:cstheme="minorEastAsia"/>
          <w:color w:val="auto"/>
          <w:szCs w:val="21"/>
          <w:highlight w:val="none"/>
        </w:rPr>
      </w:pPr>
      <w:bookmarkStart w:id="6" w:name="_Toc95016343"/>
      <w:bookmarkStart w:id="7" w:name="_Toc65917390"/>
      <w:bookmarkStart w:id="8" w:name="_Toc72050368"/>
      <w:bookmarkStart w:id="9" w:name="_Toc58910667"/>
      <w:bookmarkStart w:id="10" w:name="_Toc66353737"/>
      <w:bookmarkStart w:id="11" w:name="_Toc100052360"/>
      <w:bookmarkStart w:id="12" w:name="_Toc101074872"/>
      <w:bookmarkStart w:id="13" w:name="_Toc69814308"/>
    </w:p>
    <w:tbl>
      <w:tblPr>
        <w:tblStyle w:val="16"/>
        <w:tblpPr w:leftFromText="180" w:rightFromText="180" w:vertAnchor="text" w:horzAnchor="page" w:tblpXSpec="center" w:tblpY="-47"/>
        <w:tblOverlap w:val="never"/>
        <w:tblW w:w="9889" w:type="dxa"/>
        <w:jc w:val="center"/>
        <w:tblLayout w:type="fixed"/>
        <w:tblCellMar>
          <w:top w:w="0" w:type="dxa"/>
          <w:left w:w="108" w:type="dxa"/>
          <w:bottom w:w="0" w:type="dxa"/>
          <w:right w:w="108" w:type="dxa"/>
        </w:tblCellMar>
      </w:tblPr>
      <w:tblGrid>
        <w:gridCol w:w="788"/>
        <w:gridCol w:w="1400"/>
        <w:gridCol w:w="3848"/>
        <w:gridCol w:w="1871"/>
        <w:gridCol w:w="1982"/>
      </w:tblGrid>
      <w:tr>
        <w:tblPrEx>
          <w:tblCellMar>
            <w:top w:w="0" w:type="dxa"/>
            <w:left w:w="108" w:type="dxa"/>
            <w:bottom w:w="0" w:type="dxa"/>
            <w:right w:w="108" w:type="dxa"/>
          </w:tblCellMar>
        </w:tblPrEx>
        <w:trPr>
          <w:trHeight w:val="154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lang w:bidi="ar"/>
              </w:rPr>
              <w:t>物品名称</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样张</w:t>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eastAsia="zh-CN" w:bidi="ar"/>
              </w:rPr>
              <w:t>合同期内</w:t>
            </w:r>
            <w:r>
              <w:rPr>
                <w:rFonts w:hint="eastAsia" w:ascii="宋体" w:hAnsi="宋体" w:cs="宋体"/>
                <w:b/>
                <w:bCs/>
                <w:color w:val="auto"/>
                <w:kern w:val="0"/>
                <w:szCs w:val="21"/>
                <w:highlight w:val="none"/>
                <w:lang w:bidi="ar"/>
              </w:rPr>
              <w:t>印刷量</w:t>
            </w:r>
            <w:r>
              <w:rPr>
                <w:rFonts w:hint="eastAsia" w:ascii="宋体" w:hAnsi="宋体" w:cs="宋体"/>
                <w:b/>
                <w:bCs/>
                <w:color w:val="auto"/>
                <w:kern w:val="0"/>
                <w:szCs w:val="21"/>
                <w:highlight w:val="none"/>
                <w:lang w:bidi="ar"/>
              </w:rPr>
              <w:t>（预估合同期总量）</w:t>
            </w:r>
          </w:p>
        </w:tc>
      </w:tr>
      <w:tr>
        <w:tblPrEx>
          <w:tblCellMar>
            <w:top w:w="0" w:type="dxa"/>
            <w:left w:w="108" w:type="dxa"/>
            <w:bottom w:w="0" w:type="dxa"/>
            <w:right w:w="108" w:type="dxa"/>
          </w:tblCellMar>
        </w:tblPrEx>
        <w:trPr>
          <w:trHeight w:val="271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头等舱行李标签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56544" behindDoc="0" locked="0" layoutInCell="1" allowOverlap="1">
                  <wp:simplePos x="0" y="0"/>
                  <wp:positionH relativeFrom="column">
                    <wp:posOffset>304800</wp:posOffset>
                  </wp:positionH>
                  <wp:positionV relativeFrom="paragraph">
                    <wp:posOffset>-20955</wp:posOffset>
                  </wp:positionV>
                  <wp:extent cx="1696085" cy="1296670"/>
                  <wp:effectExtent l="0" t="0" r="18415" b="17780"/>
                  <wp:wrapNone/>
                  <wp:docPr id="14" name="图片_1"/>
                  <wp:cNvGraphicFramePr/>
                  <a:graphic xmlns:a="http://schemas.openxmlformats.org/drawingml/2006/main">
                    <a:graphicData uri="http://schemas.openxmlformats.org/drawingml/2006/picture">
                      <pic:pic xmlns:pic="http://schemas.openxmlformats.org/drawingml/2006/picture">
                        <pic:nvPicPr>
                          <pic:cNvPr id="14" name="图片_1"/>
                          <pic:cNvPicPr/>
                        </pic:nvPicPr>
                        <pic:blipFill>
                          <a:blip r:embed="rId19"/>
                          <a:stretch>
                            <a:fillRect/>
                          </a:stretch>
                        </pic:blipFill>
                        <pic:spPr>
                          <a:xfrm>
                            <a:off x="0" y="0"/>
                            <a:ext cx="1696085" cy="129667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18丝珠光面涂布合成纸，双面彩印，箭头形，5*26cm</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00000</w:t>
            </w:r>
          </w:p>
        </w:tc>
      </w:tr>
      <w:tr>
        <w:tblPrEx>
          <w:tblCellMar>
            <w:top w:w="0" w:type="dxa"/>
            <w:left w:w="108" w:type="dxa"/>
            <w:bottom w:w="0" w:type="dxa"/>
            <w:right w:w="108" w:type="dxa"/>
          </w:tblCellMar>
        </w:tblPrEx>
        <w:trPr>
          <w:trHeight w:val="301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重要旅客优先条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57568" behindDoc="0" locked="0" layoutInCell="1" allowOverlap="1">
                  <wp:simplePos x="0" y="0"/>
                  <wp:positionH relativeFrom="column">
                    <wp:posOffset>209550</wp:posOffset>
                  </wp:positionH>
                  <wp:positionV relativeFrom="paragraph">
                    <wp:posOffset>61595</wp:posOffset>
                  </wp:positionV>
                  <wp:extent cx="1878965" cy="1485900"/>
                  <wp:effectExtent l="0" t="0" r="6985" b="0"/>
                  <wp:wrapNone/>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20"/>
                          <a:stretch>
                            <a:fillRect/>
                          </a:stretch>
                        </pic:blipFill>
                        <pic:spPr>
                          <a:xfrm>
                            <a:off x="0" y="0"/>
                            <a:ext cx="1878965" cy="148590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18丝珠光面涂布合成纸，双面彩印，箭头形，打孔穿绳，20*4.5cm</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5000</w:t>
            </w:r>
          </w:p>
        </w:tc>
      </w:tr>
      <w:tr>
        <w:tblPrEx>
          <w:tblCellMar>
            <w:top w:w="0" w:type="dxa"/>
            <w:left w:w="108" w:type="dxa"/>
            <w:bottom w:w="0" w:type="dxa"/>
            <w:right w:w="108" w:type="dxa"/>
          </w:tblCellMar>
        </w:tblPrEx>
        <w:trPr>
          <w:trHeight w:val="29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行李开包温馨提示条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58592" behindDoc="0" locked="0" layoutInCell="1" allowOverlap="1">
                  <wp:simplePos x="0" y="0"/>
                  <wp:positionH relativeFrom="column">
                    <wp:posOffset>257175</wp:posOffset>
                  </wp:positionH>
                  <wp:positionV relativeFrom="paragraph">
                    <wp:posOffset>41275</wp:posOffset>
                  </wp:positionV>
                  <wp:extent cx="1798320" cy="1366520"/>
                  <wp:effectExtent l="0" t="0" r="11430" b="5080"/>
                  <wp:wrapNone/>
                  <wp:docPr id="12" name="图片_3"/>
                  <wp:cNvGraphicFramePr/>
                  <a:graphic xmlns:a="http://schemas.openxmlformats.org/drawingml/2006/main">
                    <a:graphicData uri="http://schemas.openxmlformats.org/drawingml/2006/picture">
                      <pic:pic xmlns:pic="http://schemas.openxmlformats.org/drawingml/2006/picture">
                        <pic:nvPicPr>
                          <pic:cNvPr id="12" name="图片_3"/>
                          <pic:cNvPicPr/>
                        </pic:nvPicPr>
                        <pic:blipFill>
                          <a:blip r:embed="rId21"/>
                          <a:stretch>
                            <a:fillRect/>
                          </a:stretch>
                        </pic:blipFill>
                        <pic:spPr>
                          <a:xfrm>
                            <a:off x="0" y="0"/>
                            <a:ext cx="1798320" cy="136652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格拉辛底可移不干胶，成品规格5*5cm，有钢线；彩印</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45</w:t>
            </w:r>
            <w:r>
              <w:rPr>
                <w:rFonts w:hint="eastAsia" w:ascii="宋体" w:hAnsi="宋体" w:cs="宋体"/>
                <w:color w:val="auto"/>
                <w:kern w:val="0"/>
                <w:szCs w:val="21"/>
                <w:highlight w:val="none"/>
                <w:lang w:bidi="ar"/>
              </w:rPr>
              <w:t>0000</w:t>
            </w:r>
          </w:p>
        </w:tc>
      </w:tr>
      <w:tr>
        <w:tblPrEx>
          <w:tblCellMar>
            <w:top w:w="0" w:type="dxa"/>
            <w:left w:w="108" w:type="dxa"/>
            <w:bottom w:w="0" w:type="dxa"/>
            <w:right w:w="108" w:type="dxa"/>
          </w:tblCellMar>
        </w:tblPrEx>
        <w:trPr>
          <w:trHeight w:val="298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小心轻放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1312" behindDoc="0" locked="0" layoutInCell="1" allowOverlap="1">
                  <wp:simplePos x="0" y="0"/>
                  <wp:positionH relativeFrom="column">
                    <wp:posOffset>320040</wp:posOffset>
                  </wp:positionH>
                  <wp:positionV relativeFrom="paragraph">
                    <wp:posOffset>300990</wp:posOffset>
                  </wp:positionV>
                  <wp:extent cx="1837690" cy="1521460"/>
                  <wp:effectExtent l="0" t="0" r="10160" b="2540"/>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2"/>
                          <a:stretch>
                            <a:fillRect/>
                          </a:stretch>
                        </pic:blipFill>
                        <pic:spPr>
                          <a:xfrm>
                            <a:off x="0" y="0"/>
                            <a:ext cx="1837690" cy="152146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需要做两种：1、贴纸：单面贴纸,不干胶彩印10*7cm，有钢线；  2、挂牌</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105</w:t>
            </w:r>
            <w:r>
              <w:rPr>
                <w:rFonts w:hint="eastAsia" w:ascii="宋体" w:hAnsi="宋体" w:cs="宋体"/>
                <w:color w:val="auto"/>
                <w:kern w:val="0"/>
                <w:szCs w:val="21"/>
                <w:highlight w:val="none"/>
                <w:lang w:bidi="ar"/>
              </w:rPr>
              <w:t>0000</w:t>
            </w:r>
          </w:p>
        </w:tc>
      </w:tr>
      <w:tr>
        <w:tblPrEx>
          <w:tblCellMar>
            <w:top w:w="0" w:type="dxa"/>
            <w:left w:w="108" w:type="dxa"/>
            <w:bottom w:w="0" w:type="dxa"/>
            <w:right w:w="108" w:type="dxa"/>
          </w:tblCellMar>
        </w:tblPrEx>
        <w:trPr>
          <w:trHeight w:val="29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紧急出口标签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2336" behindDoc="0" locked="0" layoutInCell="1" allowOverlap="1">
                  <wp:simplePos x="0" y="0"/>
                  <wp:positionH relativeFrom="column">
                    <wp:posOffset>303530</wp:posOffset>
                  </wp:positionH>
                  <wp:positionV relativeFrom="paragraph">
                    <wp:posOffset>229235</wp:posOffset>
                  </wp:positionV>
                  <wp:extent cx="1706880" cy="1423035"/>
                  <wp:effectExtent l="0" t="0" r="7620" b="5715"/>
                  <wp:wrapNone/>
                  <wp:docPr id="61" name="图片_5"/>
                  <wp:cNvGraphicFramePr/>
                  <a:graphic xmlns:a="http://schemas.openxmlformats.org/drawingml/2006/main">
                    <a:graphicData uri="http://schemas.openxmlformats.org/drawingml/2006/picture">
                      <pic:pic xmlns:pic="http://schemas.openxmlformats.org/drawingml/2006/picture">
                        <pic:nvPicPr>
                          <pic:cNvPr id="61" name="图片_5"/>
                          <pic:cNvPicPr/>
                        </pic:nvPicPr>
                        <pic:blipFill>
                          <a:blip r:embed="rId23"/>
                          <a:stretch>
                            <a:fillRect/>
                          </a:stretch>
                        </pic:blipFill>
                        <pic:spPr>
                          <a:xfrm>
                            <a:off x="0" y="0"/>
                            <a:ext cx="1706880" cy="142303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单面贴纸,不干胶彩印，圆形，10.2*6.5cm，有钢线</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105</w:t>
            </w:r>
            <w:r>
              <w:rPr>
                <w:rFonts w:hint="eastAsia" w:ascii="宋体" w:hAnsi="宋体" w:cs="宋体"/>
                <w:color w:val="auto"/>
                <w:kern w:val="0"/>
                <w:szCs w:val="21"/>
                <w:highlight w:val="none"/>
                <w:lang w:bidi="ar"/>
              </w:rPr>
              <w:t>0000</w:t>
            </w:r>
          </w:p>
        </w:tc>
      </w:tr>
      <w:tr>
        <w:tblPrEx>
          <w:tblCellMar>
            <w:top w:w="0" w:type="dxa"/>
            <w:left w:w="108" w:type="dxa"/>
            <w:bottom w:w="0" w:type="dxa"/>
            <w:right w:w="108" w:type="dxa"/>
          </w:tblCellMar>
        </w:tblPrEx>
        <w:trPr>
          <w:trHeight w:val="291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急字行李档签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3360" behindDoc="0" locked="0" layoutInCell="1" allowOverlap="1">
                  <wp:simplePos x="0" y="0"/>
                  <wp:positionH relativeFrom="column">
                    <wp:posOffset>283845</wp:posOffset>
                  </wp:positionH>
                  <wp:positionV relativeFrom="paragraph">
                    <wp:posOffset>264795</wp:posOffset>
                  </wp:positionV>
                  <wp:extent cx="1862455" cy="1301750"/>
                  <wp:effectExtent l="0" t="0" r="4445" b="12700"/>
                  <wp:wrapNone/>
                  <wp:docPr id="9" name="图片_1_SpCnt_1"/>
                  <wp:cNvGraphicFramePr/>
                  <a:graphic xmlns:a="http://schemas.openxmlformats.org/drawingml/2006/main">
                    <a:graphicData uri="http://schemas.openxmlformats.org/drawingml/2006/picture">
                      <pic:pic xmlns:pic="http://schemas.openxmlformats.org/drawingml/2006/picture">
                        <pic:nvPicPr>
                          <pic:cNvPr id="9" name="图片_1_SpCnt_1"/>
                          <pic:cNvPicPr/>
                        </pic:nvPicPr>
                        <pic:blipFill>
                          <a:blip r:embed="rId24"/>
                          <a:stretch>
                            <a:fillRect/>
                          </a:stretch>
                        </pic:blipFill>
                        <pic:spPr>
                          <a:xfrm>
                            <a:off x="0" y="0"/>
                            <a:ext cx="1862455" cy="130175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18丝珠光面涂布合成纸，双面彩印，箭头形，5*26cm</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330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免除责任行李牌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4384" behindDoc="0" locked="0" layoutInCell="1" allowOverlap="1">
                  <wp:simplePos x="0" y="0"/>
                  <wp:positionH relativeFrom="column">
                    <wp:posOffset>468630</wp:posOffset>
                  </wp:positionH>
                  <wp:positionV relativeFrom="paragraph">
                    <wp:posOffset>97155</wp:posOffset>
                  </wp:positionV>
                  <wp:extent cx="1342390" cy="1874520"/>
                  <wp:effectExtent l="0" t="0" r="10160" b="11430"/>
                  <wp:wrapNone/>
                  <wp:docPr id="8" name="图片_7"/>
                  <wp:cNvGraphicFramePr/>
                  <a:graphic xmlns:a="http://schemas.openxmlformats.org/drawingml/2006/main">
                    <a:graphicData uri="http://schemas.openxmlformats.org/drawingml/2006/picture">
                      <pic:pic xmlns:pic="http://schemas.openxmlformats.org/drawingml/2006/picture">
                        <pic:nvPicPr>
                          <pic:cNvPr id="8" name="图片_7"/>
                          <pic:cNvPicPr/>
                        </pic:nvPicPr>
                        <pic:blipFill>
                          <a:blip r:embed="rId25"/>
                          <a:stretch>
                            <a:fillRect/>
                          </a:stretch>
                        </pic:blipFill>
                        <pic:spPr>
                          <a:xfrm>
                            <a:off x="0" y="0"/>
                            <a:ext cx="1342390" cy="1874520"/>
                          </a:xfrm>
                          <a:prstGeom prst="rect">
                            <a:avLst/>
                          </a:prstGeom>
                          <a:noFill/>
                          <a:ln>
                            <a:noFill/>
                          </a:ln>
                        </pic:spPr>
                      </pic:pic>
                    </a:graphicData>
                  </a:graphic>
                </wp:anchor>
              </w:drawing>
            </w:r>
          </w:p>
          <w:p>
            <w:pPr>
              <w:widowControl/>
              <w:jc w:val="left"/>
              <w:textAlignment w:val="center"/>
              <w:rPr>
                <w:rFonts w:ascii="宋体" w:hAnsi="宋体" w:cs="宋体"/>
                <w:color w:val="auto"/>
                <w:szCs w:val="21"/>
                <w:highlight w:val="none"/>
              </w:rPr>
            </w:pP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圆角吊卡，250克白卡纸，6.2*18CM，双面彩印，反面可写字，打孔加鸡眼扣，穿弹力绳，每张含2个号码，压易撕线1条，撕开成2张后每张都有4个圆角。</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0000</w:t>
            </w:r>
          </w:p>
        </w:tc>
      </w:tr>
      <w:tr>
        <w:tblPrEx>
          <w:tblCellMar>
            <w:top w:w="0" w:type="dxa"/>
            <w:left w:w="108" w:type="dxa"/>
            <w:bottom w:w="0" w:type="dxa"/>
            <w:right w:w="108" w:type="dxa"/>
          </w:tblCellMar>
        </w:tblPrEx>
        <w:trPr>
          <w:trHeight w:val="352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阳光精品服务卡-失物招领</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p>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5408" behindDoc="0" locked="0" layoutInCell="1" allowOverlap="1">
                  <wp:simplePos x="0" y="0"/>
                  <wp:positionH relativeFrom="column">
                    <wp:posOffset>-9525</wp:posOffset>
                  </wp:positionH>
                  <wp:positionV relativeFrom="paragraph">
                    <wp:posOffset>255905</wp:posOffset>
                  </wp:positionV>
                  <wp:extent cx="1000125" cy="1411605"/>
                  <wp:effectExtent l="0" t="0" r="9525" b="17145"/>
                  <wp:wrapNone/>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26"/>
                          <a:srcRect t="35640"/>
                          <a:stretch>
                            <a:fillRect/>
                          </a:stretch>
                        </pic:blipFill>
                        <pic:spPr>
                          <a:xfrm>
                            <a:off x="0" y="0"/>
                            <a:ext cx="1000125" cy="141160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66432" behindDoc="0" locked="0" layoutInCell="1" allowOverlap="1">
                  <wp:simplePos x="0" y="0"/>
                  <wp:positionH relativeFrom="column">
                    <wp:posOffset>1123950</wp:posOffset>
                  </wp:positionH>
                  <wp:positionV relativeFrom="paragraph">
                    <wp:posOffset>144145</wp:posOffset>
                  </wp:positionV>
                  <wp:extent cx="1094105" cy="1673225"/>
                  <wp:effectExtent l="0" t="0" r="10795" b="3175"/>
                  <wp:wrapNone/>
                  <wp:docPr id="62" name="图片_7_SpCnt_1"/>
                  <wp:cNvGraphicFramePr/>
                  <a:graphic xmlns:a="http://schemas.openxmlformats.org/drawingml/2006/main">
                    <a:graphicData uri="http://schemas.openxmlformats.org/drawingml/2006/picture">
                      <pic:pic xmlns:pic="http://schemas.openxmlformats.org/drawingml/2006/picture">
                        <pic:nvPicPr>
                          <pic:cNvPr id="62" name="图片_7_SpCnt_1"/>
                          <pic:cNvPicPr/>
                        </pic:nvPicPr>
                        <pic:blipFill>
                          <a:blip r:embed="rId27"/>
                          <a:srcRect t="22134"/>
                          <a:stretch>
                            <a:fillRect/>
                          </a:stretch>
                        </pic:blipFill>
                        <pic:spPr>
                          <a:xfrm>
                            <a:off x="0" y="0"/>
                            <a:ext cx="1094105" cy="167322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吊卡，9.5*5.5cm，300克铜版卡，双面彩印，打孔穿绳。</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36</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352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阳光精品服务卡-失物招领（待认领）</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7456" behindDoc="0" locked="0" layoutInCell="1" allowOverlap="1">
                  <wp:simplePos x="0" y="0"/>
                  <wp:positionH relativeFrom="column">
                    <wp:posOffset>182880</wp:posOffset>
                  </wp:positionH>
                  <wp:positionV relativeFrom="paragraph">
                    <wp:posOffset>287020</wp:posOffset>
                  </wp:positionV>
                  <wp:extent cx="770255" cy="1673225"/>
                  <wp:effectExtent l="0" t="0" r="10795" b="3175"/>
                  <wp:wrapNone/>
                  <wp:docPr id="63" name="图片_25"/>
                  <wp:cNvGraphicFramePr/>
                  <a:graphic xmlns:a="http://schemas.openxmlformats.org/drawingml/2006/main">
                    <a:graphicData uri="http://schemas.openxmlformats.org/drawingml/2006/picture">
                      <pic:pic xmlns:pic="http://schemas.openxmlformats.org/drawingml/2006/picture">
                        <pic:nvPicPr>
                          <pic:cNvPr id="63" name="图片_25"/>
                          <pic:cNvPicPr/>
                        </pic:nvPicPr>
                        <pic:blipFill>
                          <a:blip r:embed="rId28"/>
                          <a:stretch>
                            <a:fillRect/>
                          </a:stretch>
                        </pic:blipFill>
                        <pic:spPr>
                          <a:xfrm>
                            <a:off x="0" y="0"/>
                            <a:ext cx="770255" cy="167322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68480" behindDoc="0" locked="0" layoutInCell="1" allowOverlap="1">
                  <wp:simplePos x="0" y="0"/>
                  <wp:positionH relativeFrom="column">
                    <wp:posOffset>1190625</wp:posOffset>
                  </wp:positionH>
                  <wp:positionV relativeFrom="paragraph">
                    <wp:posOffset>363855</wp:posOffset>
                  </wp:positionV>
                  <wp:extent cx="1155700" cy="1475105"/>
                  <wp:effectExtent l="0" t="0" r="6350" b="10795"/>
                  <wp:wrapNone/>
                  <wp:docPr id="3" name="图片_26"/>
                  <wp:cNvGraphicFramePr/>
                  <a:graphic xmlns:a="http://schemas.openxmlformats.org/drawingml/2006/main">
                    <a:graphicData uri="http://schemas.openxmlformats.org/drawingml/2006/picture">
                      <pic:pic xmlns:pic="http://schemas.openxmlformats.org/drawingml/2006/picture">
                        <pic:nvPicPr>
                          <pic:cNvPr id="3" name="图片_26"/>
                          <pic:cNvPicPr/>
                        </pic:nvPicPr>
                        <pic:blipFill>
                          <a:blip r:embed="rId29"/>
                          <a:stretch>
                            <a:fillRect/>
                          </a:stretch>
                        </pic:blipFill>
                        <pic:spPr>
                          <a:xfrm>
                            <a:off x="0" y="0"/>
                            <a:ext cx="1155700" cy="147510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吊卡，13*8cm，300克铜版卡，双面彩印，打孔穿绳。</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12</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249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《宁波机场阳光服务爱心服务记录本（轮椅等特殊服务）》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9504" behindDoc="0" locked="0" layoutInCell="1" allowOverlap="1">
                  <wp:simplePos x="0" y="0"/>
                  <wp:positionH relativeFrom="column">
                    <wp:posOffset>554990</wp:posOffset>
                  </wp:positionH>
                  <wp:positionV relativeFrom="paragraph">
                    <wp:posOffset>56515</wp:posOffset>
                  </wp:positionV>
                  <wp:extent cx="1292860" cy="1364615"/>
                  <wp:effectExtent l="0" t="0" r="2540" b="6985"/>
                  <wp:wrapNone/>
                  <wp:docPr id="2" name="图片_1_SpCnt_2"/>
                  <wp:cNvGraphicFramePr/>
                  <a:graphic xmlns:a="http://schemas.openxmlformats.org/drawingml/2006/main">
                    <a:graphicData uri="http://schemas.openxmlformats.org/drawingml/2006/picture">
                      <pic:pic xmlns:pic="http://schemas.openxmlformats.org/drawingml/2006/picture">
                        <pic:nvPicPr>
                          <pic:cNvPr id="2" name="图片_1_SpCnt_2"/>
                          <pic:cNvPicPr/>
                        </pic:nvPicPr>
                        <pic:blipFill>
                          <a:blip r:embed="rId30"/>
                          <a:stretch>
                            <a:fillRect/>
                          </a:stretch>
                        </pic:blipFill>
                        <pic:spPr>
                          <a:xfrm>
                            <a:off x="0" y="0"/>
                            <a:ext cx="1292860" cy="136461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A4，封面封底230克蓝色皮纹纸单面印刷；内页：无碳复写纸，一式四联单，25份/本，每本100张，有编号，齿线，打钉。</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4</w:t>
            </w: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758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《宁波机场阳光服务爱心服务记录本（无成人陪伴儿童乘机服务）》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0528" behindDoc="0" locked="0" layoutInCell="1" allowOverlap="1">
                  <wp:simplePos x="0" y="0"/>
                  <wp:positionH relativeFrom="column">
                    <wp:posOffset>42545</wp:posOffset>
                  </wp:positionH>
                  <wp:positionV relativeFrom="paragraph">
                    <wp:posOffset>3211830</wp:posOffset>
                  </wp:positionV>
                  <wp:extent cx="996315" cy="1275080"/>
                  <wp:effectExtent l="0" t="0" r="13335" b="1270"/>
                  <wp:wrapNone/>
                  <wp:docPr id="23" name="图片_16"/>
                  <wp:cNvGraphicFramePr/>
                  <a:graphic xmlns:a="http://schemas.openxmlformats.org/drawingml/2006/main">
                    <a:graphicData uri="http://schemas.openxmlformats.org/drawingml/2006/picture">
                      <pic:pic xmlns:pic="http://schemas.openxmlformats.org/drawingml/2006/picture">
                        <pic:nvPicPr>
                          <pic:cNvPr id="23" name="图片_16"/>
                          <pic:cNvPicPr/>
                        </pic:nvPicPr>
                        <pic:blipFill>
                          <a:blip r:embed="rId31"/>
                          <a:stretch>
                            <a:fillRect/>
                          </a:stretch>
                        </pic:blipFill>
                        <pic:spPr>
                          <a:xfrm>
                            <a:off x="0" y="0"/>
                            <a:ext cx="996315" cy="127508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71552" behindDoc="0" locked="0" layoutInCell="1" allowOverlap="1">
                  <wp:simplePos x="0" y="0"/>
                  <wp:positionH relativeFrom="column">
                    <wp:posOffset>1204595</wp:posOffset>
                  </wp:positionH>
                  <wp:positionV relativeFrom="paragraph">
                    <wp:posOffset>3167380</wp:posOffset>
                  </wp:positionV>
                  <wp:extent cx="988060" cy="1456055"/>
                  <wp:effectExtent l="0" t="0" r="2540" b="10795"/>
                  <wp:wrapNone/>
                  <wp:docPr id="64" name="图片_19"/>
                  <wp:cNvGraphicFramePr/>
                  <a:graphic xmlns:a="http://schemas.openxmlformats.org/drawingml/2006/main">
                    <a:graphicData uri="http://schemas.openxmlformats.org/drawingml/2006/picture">
                      <pic:pic xmlns:pic="http://schemas.openxmlformats.org/drawingml/2006/picture">
                        <pic:nvPicPr>
                          <pic:cNvPr id="64" name="图片_19"/>
                          <pic:cNvPicPr/>
                        </pic:nvPicPr>
                        <pic:blipFill>
                          <a:blip r:embed="rId32"/>
                          <a:stretch>
                            <a:fillRect/>
                          </a:stretch>
                        </pic:blipFill>
                        <pic:spPr>
                          <a:xfrm>
                            <a:off x="0" y="0"/>
                            <a:ext cx="988060" cy="145605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72576" behindDoc="0" locked="0" layoutInCell="1" allowOverlap="1">
                  <wp:simplePos x="0" y="0"/>
                  <wp:positionH relativeFrom="column">
                    <wp:posOffset>173355</wp:posOffset>
                  </wp:positionH>
                  <wp:positionV relativeFrom="paragraph">
                    <wp:posOffset>1604645</wp:posOffset>
                  </wp:positionV>
                  <wp:extent cx="928370" cy="1249045"/>
                  <wp:effectExtent l="0" t="0" r="5080" b="8255"/>
                  <wp:wrapNone/>
                  <wp:docPr id="18" name="图片_20"/>
                  <wp:cNvGraphicFramePr/>
                  <a:graphic xmlns:a="http://schemas.openxmlformats.org/drawingml/2006/main">
                    <a:graphicData uri="http://schemas.openxmlformats.org/drawingml/2006/picture">
                      <pic:pic xmlns:pic="http://schemas.openxmlformats.org/drawingml/2006/picture">
                        <pic:nvPicPr>
                          <pic:cNvPr id="18" name="图片_20"/>
                          <pic:cNvPicPr/>
                        </pic:nvPicPr>
                        <pic:blipFill>
                          <a:blip r:embed="rId33"/>
                          <a:stretch>
                            <a:fillRect/>
                          </a:stretch>
                        </pic:blipFill>
                        <pic:spPr>
                          <a:xfrm>
                            <a:off x="0" y="0"/>
                            <a:ext cx="928370" cy="124904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73600" behindDoc="0" locked="0" layoutInCell="1" allowOverlap="1">
                  <wp:simplePos x="0" y="0"/>
                  <wp:positionH relativeFrom="column">
                    <wp:posOffset>1348105</wp:posOffset>
                  </wp:positionH>
                  <wp:positionV relativeFrom="paragraph">
                    <wp:posOffset>1704340</wp:posOffset>
                  </wp:positionV>
                  <wp:extent cx="935990" cy="1250950"/>
                  <wp:effectExtent l="0" t="0" r="16510" b="6350"/>
                  <wp:wrapNone/>
                  <wp:docPr id="15" name="图片_18"/>
                  <wp:cNvGraphicFramePr/>
                  <a:graphic xmlns:a="http://schemas.openxmlformats.org/drawingml/2006/main">
                    <a:graphicData uri="http://schemas.openxmlformats.org/drawingml/2006/picture">
                      <pic:pic xmlns:pic="http://schemas.openxmlformats.org/drawingml/2006/picture">
                        <pic:nvPicPr>
                          <pic:cNvPr id="15" name="图片_18"/>
                          <pic:cNvPicPr/>
                        </pic:nvPicPr>
                        <pic:blipFill>
                          <a:blip r:embed="rId34"/>
                          <a:stretch>
                            <a:fillRect/>
                          </a:stretch>
                        </pic:blipFill>
                        <pic:spPr>
                          <a:xfrm>
                            <a:off x="0" y="0"/>
                            <a:ext cx="935990" cy="125095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74624" behindDoc="0" locked="0" layoutInCell="1" allowOverlap="1">
                  <wp:simplePos x="0" y="0"/>
                  <wp:positionH relativeFrom="column">
                    <wp:posOffset>187325</wp:posOffset>
                  </wp:positionH>
                  <wp:positionV relativeFrom="paragraph">
                    <wp:posOffset>128905</wp:posOffset>
                  </wp:positionV>
                  <wp:extent cx="889000" cy="1240155"/>
                  <wp:effectExtent l="0" t="0" r="6350" b="17145"/>
                  <wp:wrapNone/>
                  <wp:docPr id="66" name="图片_14"/>
                  <wp:cNvGraphicFramePr/>
                  <a:graphic xmlns:a="http://schemas.openxmlformats.org/drawingml/2006/main">
                    <a:graphicData uri="http://schemas.openxmlformats.org/drawingml/2006/picture">
                      <pic:pic xmlns:pic="http://schemas.openxmlformats.org/drawingml/2006/picture">
                        <pic:nvPicPr>
                          <pic:cNvPr id="66" name="图片_14"/>
                          <pic:cNvPicPr/>
                        </pic:nvPicPr>
                        <pic:blipFill>
                          <a:blip r:embed="rId35"/>
                          <a:stretch>
                            <a:fillRect/>
                          </a:stretch>
                        </pic:blipFill>
                        <pic:spPr>
                          <a:xfrm>
                            <a:off x="0" y="0"/>
                            <a:ext cx="889000" cy="124015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75648" behindDoc="0" locked="0" layoutInCell="1" allowOverlap="1">
                  <wp:simplePos x="0" y="0"/>
                  <wp:positionH relativeFrom="column">
                    <wp:posOffset>1322705</wp:posOffset>
                  </wp:positionH>
                  <wp:positionV relativeFrom="paragraph">
                    <wp:posOffset>165735</wp:posOffset>
                  </wp:positionV>
                  <wp:extent cx="942975" cy="1417320"/>
                  <wp:effectExtent l="0" t="0" r="9525" b="11430"/>
                  <wp:wrapNone/>
                  <wp:docPr id="65" name="图片_15"/>
                  <wp:cNvGraphicFramePr/>
                  <a:graphic xmlns:a="http://schemas.openxmlformats.org/drawingml/2006/main">
                    <a:graphicData uri="http://schemas.openxmlformats.org/drawingml/2006/picture">
                      <pic:pic xmlns:pic="http://schemas.openxmlformats.org/drawingml/2006/picture">
                        <pic:nvPicPr>
                          <pic:cNvPr id="65" name="图片_15"/>
                          <pic:cNvPicPr/>
                        </pic:nvPicPr>
                        <pic:blipFill>
                          <a:blip r:embed="rId36"/>
                          <a:stretch>
                            <a:fillRect/>
                          </a:stretch>
                        </pic:blipFill>
                        <pic:spPr>
                          <a:xfrm>
                            <a:off x="0" y="0"/>
                            <a:ext cx="942975" cy="141732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A4，封面封底230克白色皮纹纸单面黑白印刷；内页：无碳复写纸，二式六联单，20份/本，一式两联单+一式四联单为1份，（其中一式四联单为双面印刷），每本120张，有编号，齿线，打钉。</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4</w:t>
            </w: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21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《阳光服务失物登记本》</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6672" behindDoc="0" locked="0" layoutInCell="1" allowOverlap="1">
                  <wp:simplePos x="0" y="0"/>
                  <wp:positionH relativeFrom="column">
                    <wp:posOffset>543560</wp:posOffset>
                  </wp:positionH>
                  <wp:positionV relativeFrom="paragraph">
                    <wp:posOffset>202565</wp:posOffset>
                  </wp:positionV>
                  <wp:extent cx="1294765" cy="1029970"/>
                  <wp:effectExtent l="0" t="0" r="635" b="17780"/>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37"/>
                          <a:stretch>
                            <a:fillRect/>
                          </a:stretch>
                        </pic:blipFill>
                        <pic:spPr>
                          <a:xfrm>
                            <a:off x="0" y="0"/>
                            <a:ext cx="1294765" cy="102997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A5，封面棕色牛皮纸；内页：无碳复写纸，一式两联，单面印刷，胶成本，50份/本。每本要有垫纸，有编号，齿线，打钉。</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720</w:t>
            </w:r>
          </w:p>
        </w:tc>
      </w:tr>
      <w:tr>
        <w:tblPrEx>
          <w:tblCellMar>
            <w:top w:w="0" w:type="dxa"/>
            <w:left w:w="108" w:type="dxa"/>
            <w:bottom w:w="0" w:type="dxa"/>
            <w:right w:w="108" w:type="dxa"/>
          </w:tblCellMar>
        </w:tblPrEx>
        <w:trPr>
          <w:trHeight w:val="24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《航班延误、取消证明》</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7696" behindDoc="0" locked="0" layoutInCell="1" allowOverlap="1">
                  <wp:simplePos x="0" y="0"/>
                  <wp:positionH relativeFrom="column">
                    <wp:posOffset>417195</wp:posOffset>
                  </wp:positionH>
                  <wp:positionV relativeFrom="paragraph">
                    <wp:posOffset>285750</wp:posOffset>
                  </wp:positionV>
                  <wp:extent cx="1308100" cy="1147445"/>
                  <wp:effectExtent l="0" t="0" r="6350" b="14605"/>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38"/>
                          <a:stretch>
                            <a:fillRect/>
                          </a:stretch>
                        </pic:blipFill>
                        <pic:spPr>
                          <a:xfrm>
                            <a:off x="0" y="0"/>
                            <a:ext cx="1308100" cy="114744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A5，封面棕色牛皮纸印黑白；内页：无碳复写纸，一式两联，第一联单面黑白印刷，其中第二联印红色公章，胶成本，50份/本。每本要有垫纸，有号码，齿线，打钉。</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600</w:t>
            </w:r>
          </w:p>
        </w:tc>
      </w:tr>
      <w:tr>
        <w:tblPrEx>
          <w:tblCellMar>
            <w:top w:w="0" w:type="dxa"/>
            <w:left w:w="108" w:type="dxa"/>
            <w:bottom w:w="0" w:type="dxa"/>
            <w:right w:w="108" w:type="dxa"/>
          </w:tblCellMar>
        </w:tblPrEx>
        <w:trPr>
          <w:trHeight w:val="285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速运行李牌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8720" behindDoc="0" locked="0" layoutInCell="1" allowOverlap="1">
                  <wp:simplePos x="0" y="0"/>
                  <wp:positionH relativeFrom="column">
                    <wp:posOffset>346075</wp:posOffset>
                  </wp:positionH>
                  <wp:positionV relativeFrom="paragraph">
                    <wp:posOffset>213360</wp:posOffset>
                  </wp:positionV>
                  <wp:extent cx="1526540" cy="1425575"/>
                  <wp:effectExtent l="0" t="0" r="16510" b="3175"/>
                  <wp:wrapNone/>
                  <wp:docPr id="21" name="图片_20_SpCnt_1"/>
                  <wp:cNvGraphicFramePr/>
                  <a:graphic xmlns:a="http://schemas.openxmlformats.org/drawingml/2006/main">
                    <a:graphicData uri="http://schemas.openxmlformats.org/drawingml/2006/picture">
                      <pic:pic xmlns:pic="http://schemas.openxmlformats.org/drawingml/2006/picture">
                        <pic:nvPicPr>
                          <pic:cNvPr id="21" name="图片_20_SpCnt_1"/>
                          <pic:cNvPicPr/>
                        </pic:nvPicPr>
                        <pic:blipFill>
                          <a:blip r:embed="rId39"/>
                          <a:stretch>
                            <a:fillRect/>
                          </a:stretch>
                        </pic:blipFill>
                        <pic:spPr>
                          <a:xfrm>
                            <a:off x="0" y="0"/>
                            <a:ext cx="1526540" cy="142557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205*72cm，250克白卡纸双面彩印，反面可写字，吊卡，打号码3个，2条易撕线，压痕，打孔，孔穿弹力绳，单张</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387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行李查询档案袋、国际地区航班保障资料袋舱单留存业务袋（各类档案袋）</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9744" behindDoc="0" locked="0" layoutInCell="1" allowOverlap="1">
                  <wp:simplePos x="0" y="0"/>
                  <wp:positionH relativeFrom="column">
                    <wp:posOffset>182245</wp:posOffset>
                  </wp:positionH>
                  <wp:positionV relativeFrom="paragraph">
                    <wp:posOffset>1373505</wp:posOffset>
                  </wp:positionV>
                  <wp:extent cx="1001395" cy="1040765"/>
                  <wp:effectExtent l="0" t="0" r="8255" b="6985"/>
                  <wp:wrapNone/>
                  <wp:docPr id="25" name="图片_21_SpCnt_1"/>
                  <wp:cNvGraphicFramePr/>
                  <a:graphic xmlns:a="http://schemas.openxmlformats.org/drawingml/2006/main">
                    <a:graphicData uri="http://schemas.openxmlformats.org/drawingml/2006/picture">
                      <pic:pic xmlns:pic="http://schemas.openxmlformats.org/drawingml/2006/picture">
                        <pic:nvPicPr>
                          <pic:cNvPr id="25" name="图片_21_SpCnt_1"/>
                          <pic:cNvPicPr/>
                        </pic:nvPicPr>
                        <pic:blipFill>
                          <a:blip r:embed="rId40"/>
                          <a:stretch>
                            <a:fillRect/>
                          </a:stretch>
                        </pic:blipFill>
                        <pic:spPr>
                          <a:xfrm>
                            <a:off x="0" y="0"/>
                            <a:ext cx="1001395" cy="104076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80768" behindDoc="0" locked="0" layoutInCell="1" allowOverlap="1">
                  <wp:simplePos x="0" y="0"/>
                  <wp:positionH relativeFrom="column">
                    <wp:posOffset>74295</wp:posOffset>
                  </wp:positionH>
                  <wp:positionV relativeFrom="paragraph">
                    <wp:posOffset>154305</wp:posOffset>
                  </wp:positionV>
                  <wp:extent cx="963930" cy="1082040"/>
                  <wp:effectExtent l="0" t="0" r="7620" b="3810"/>
                  <wp:wrapNone/>
                  <wp:docPr id="19" name="图片_21"/>
                  <wp:cNvGraphicFramePr/>
                  <a:graphic xmlns:a="http://schemas.openxmlformats.org/drawingml/2006/main">
                    <a:graphicData uri="http://schemas.openxmlformats.org/drawingml/2006/picture">
                      <pic:pic xmlns:pic="http://schemas.openxmlformats.org/drawingml/2006/picture">
                        <pic:nvPicPr>
                          <pic:cNvPr id="19" name="图片_21"/>
                          <pic:cNvPicPr/>
                        </pic:nvPicPr>
                        <pic:blipFill>
                          <a:blip r:embed="rId41"/>
                          <a:stretch>
                            <a:fillRect/>
                          </a:stretch>
                        </pic:blipFill>
                        <pic:spPr>
                          <a:xfrm>
                            <a:off x="0" y="0"/>
                            <a:ext cx="963930" cy="108204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81792" behindDoc="0" locked="0" layoutInCell="1" allowOverlap="1">
                  <wp:simplePos x="0" y="0"/>
                  <wp:positionH relativeFrom="column">
                    <wp:posOffset>1316990</wp:posOffset>
                  </wp:positionH>
                  <wp:positionV relativeFrom="paragraph">
                    <wp:posOffset>123825</wp:posOffset>
                  </wp:positionV>
                  <wp:extent cx="1042670" cy="1209675"/>
                  <wp:effectExtent l="0" t="0" r="5080" b="9525"/>
                  <wp:wrapNone/>
                  <wp:docPr id="24" name="图片_1_SpCnt_3"/>
                  <wp:cNvGraphicFramePr/>
                  <a:graphic xmlns:a="http://schemas.openxmlformats.org/drawingml/2006/main">
                    <a:graphicData uri="http://schemas.openxmlformats.org/drawingml/2006/picture">
                      <pic:pic xmlns:pic="http://schemas.openxmlformats.org/drawingml/2006/picture">
                        <pic:nvPicPr>
                          <pic:cNvPr id="24" name="图片_1_SpCnt_3"/>
                          <pic:cNvPicPr/>
                        </pic:nvPicPr>
                        <pic:blipFill>
                          <a:blip r:embed="rId42"/>
                          <a:stretch>
                            <a:fillRect/>
                          </a:stretch>
                        </pic:blipFill>
                        <pic:spPr>
                          <a:xfrm>
                            <a:off x="0" y="0"/>
                            <a:ext cx="1042670" cy="120967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120克牛皮纸档案袋，单面彩印，宽*长*厚：23*32*3cm，压痕，鸡眼扣+贴片+绳</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18</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271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行李装舱交接单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2816" behindDoc="0" locked="0" layoutInCell="1" allowOverlap="1">
                  <wp:simplePos x="0" y="0"/>
                  <wp:positionH relativeFrom="column">
                    <wp:posOffset>166370</wp:posOffset>
                  </wp:positionH>
                  <wp:positionV relativeFrom="paragraph">
                    <wp:posOffset>123825</wp:posOffset>
                  </wp:positionV>
                  <wp:extent cx="1983740" cy="1562100"/>
                  <wp:effectExtent l="0" t="0" r="16510" b="0"/>
                  <wp:wrapNone/>
                  <wp:docPr id="26" name="图片_16_SpCnt_1"/>
                  <wp:cNvGraphicFramePr/>
                  <a:graphic xmlns:a="http://schemas.openxmlformats.org/drawingml/2006/main">
                    <a:graphicData uri="http://schemas.openxmlformats.org/drawingml/2006/picture">
                      <pic:pic xmlns:pic="http://schemas.openxmlformats.org/drawingml/2006/picture">
                        <pic:nvPicPr>
                          <pic:cNvPr id="26" name="图片_16_SpCnt_1"/>
                          <pic:cNvPicPr/>
                        </pic:nvPicPr>
                        <pic:blipFill>
                          <a:blip r:embed="rId43"/>
                          <a:stretch>
                            <a:fillRect/>
                          </a:stretch>
                        </pic:blipFill>
                        <pic:spPr>
                          <a:xfrm>
                            <a:off x="0" y="0"/>
                            <a:ext cx="1983740" cy="156210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A5，顶部可撕，封面棕色牛皮纸，单面印刷，内页：无碳复写纸，一式二联每本50份（100张）</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5000</w:t>
            </w:r>
          </w:p>
        </w:tc>
      </w:tr>
      <w:tr>
        <w:tblPrEx>
          <w:tblCellMar>
            <w:top w:w="0" w:type="dxa"/>
            <w:left w:w="108" w:type="dxa"/>
            <w:bottom w:w="0" w:type="dxa"/>
            <w:right w:w="108" w:type="dxa"/>
          </w:tblCellMar>
        </w:tblPrEx>
        <w:trPr>
          <w:trHeight w:val="24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特殊旅客免责证明单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3840" behindDoc="0" locked="0" layoutInCell="1" allowOverlap="1">
                  <wp:simplePos x="0" y="0"/>
                  <wp:positionH relativeFrom="column">
                    <wp:posOffset>780415</wp:posOffset>
                  </wp:positionH>
                  <wp:positionV relativeFrom="paragraph">
                    <wp:posOffset>198755</wp:posOffset>
                  </wp:positionV>
                  <wp:extent cx="923290" cy="1216025"/>
                  <wp:effectExtent l="0" t="0" r="10160" b="3175"/>
                  <wp:wrapNone/>
                  <wp:docPr id="27" name="图片_2_SpCnt_1"/>
                  <wp:cNvGraphicFramePr/>
                  <a:graphic xmlns:a="http://schemas.openxmlformats.org/drawingml/2006/main">
                    <a:graphicData uri="http://schemas.openxmlformats.org/drawingml/2006/picture">
                      <pic:pic xmlns:pic="http://schemas.openxmlformats.org/drawingml/2006/picture">
                        <pic:nvPicPr>
                          <pic:cNvPr id="27" name="图片_2_SpCnt_1"/>
                          <pic:cNvPicPr/>
                        </pic:nvPicPr>
                        <pic:blipFill>
                          <a:blip r:embed="rId44"/>
                          <a:stretch>
                            <a:fillRect/>
                          </a:stretch>
                        </pic:blipFill>
                        <pic:spPr>
                          <a:xfrm>
                            <a:off x="0" y="0"/>
                            <a:ext cx="923290" cy="121602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193mm*142mm，封面牛皮纸印字，内页：无碳复写纸，一式两联，有易撕线，每本有垫板，有号码</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1500</w:t>
            </w:r>
          </w:p>
        </w:tc>
      </w:tr>
      <w:tr>
        <w:tblPrEx>
          <w:tblCellMar>
            <w:top w:w="0" w:type="dxa"/>
            <w:left w:w="108" w:type="dxa"/>
            <w:bottom w:w="0" w:type="dxa"/>
            <w:right w:w="108" w:type="dxa"/>
          </w:tblCellMar>
        </w:tblPrEx>
        <w:trPr>
          <w:trHeight w:val="238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r>
              <w:rPr>
                <w:rFonts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行李集装箱讯息</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4864" behindDoc="0" locked="0" layoutInCell="1" allowOverlap="1">
                  <wp:simplePos x="0" y="0"/>
                  <wp:positionH relativeFrom="column">
                    <wp:posOffset>396875</wp:posOffset>
                  </wp:positionH>
                  <wp:positionV relativeFrom="paragraph">
                    <wp:posOffset>240665</wp:posOffset>
                  </wp:positionV>
                  <wp:extent cx="1723390" cy="1017905"/>
                  <wp:effectExtent l="0" t="0" r="10160" b="10795"/>
                  <wp:wrapNone/>
                  <wp:docPr id="31" name="图片_29"/>
                  <wp:cNvGraphicFramePr/>
                  <a:graphic xmlns:a="http://schemas.openxmlformats.org/drawingml/2006/main">
                    <a:graphicData uri="http://schemas.openxmlformats.org/drawingml/2006/picture">
                      <pic:pic xmlns:pic="http://schemas.openxmlformats.org/drawingml/2006/picture">
                        <pic:nvPicPr>
                          <pic:cNvPr id="31" name="图片_29"/>
                          <pic:cNvPicPr/>
                        </pic:nvPicPr>
                        <pic:blipFill>
                          <a:blip r:embed="rId45"/>
                          <a:stretch>
                            <a:fillRect/>
                          </a:stretch>
                        </pic:blipFill>
                        <pic:spPr>
                          <a:xfrm>
                            <a:off x="0" y="0"/>
                            <a:ext cx="1723390" cy="101790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A4顶部可撕，封面棕色牛皮纸，单面印刷，内页：无碳复写纸，一式二联每本50份（100张）</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27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《特服旅客防错确认单》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5888" behindDoc="0" locked="0" layoutInCell="1" allowOverlap="1">
                  <wp:simplePos x="0" y="0"/>
                  <wp:positionH relativeFrom="column">
                    <wp:posOffset>757555</wp:posOffset>
                  </wp:positionH>
                  <wp:positionV relativeFrom="paragraph">
                    <wp:posOffset>149860</wp:posOffset>
                  </wp:positionV>
                  <wp:extent cx="888365" cy="1423670"/>
                  <wp:effectExtent l="0" t="0" r="6985" b="5080"/>
                  <wp:wrapNone/>
                  <wp:docPr id="32" name="图片_30"/>
                  <wp:cNvGraphicFramePr/>
                  <a:graphic xmlns:a="http://schemas.openxmlformats.org/drawingml/2006/main">
                    <a:graphicData uri="http://schemas.openxmlformats.org/drawingml/2006/picture">
                      <pic:pic xmlns:pic="http://schemas.openxmlformats.org/drawingml/2006/picture">
                        <pic:nvPicPr>
                          <pic:cNvPr id="32" name="图片_30"/>
                          <pic:cNvPicPr/>
                        </pic:nvPicPr>
                        <pic:blipFill>
                          <a:blip r:embed="rId46"/>
                          <a:stretch>
                            <a:fillRect/>
                          </a:stretch>
                        </pic:blipFill>
                        <pic:spPr>
                          <a:xfrm>
                            <a:off x="0" y="0"/>
                            <a:ext cx="888365" cy="142367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A4，封面封底230克蓝色皮纹单面印刷；内页：无碳复写纸，一式两联单，50份/本，每本100张，有编号，有易撕线，每本有垫板。</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4</w:t>
            </w:r>
            <w:r>
              <w:rPr>
                <w:rFonts w:hint="eastAsia" w:ascii="宋体" w:hAnsi="宋体" w:cs="宋体"/>
                <w:color w:val="auto"/>
                <w:kern w:val="0"/>
                <w:szCs w:val="21"/>
                <w:highlight w:val="none"/>
                <w:lang w:bidi="ar"/>
              </w:rPr>
              <w:t>50</w:t>
            </w:r>
          </w:p>
        </w:tc>
      </w:tr>
      <w:tr>
        <w:tblPrEx>
          <w:tblCellMar>
            <w:top w:w="0" w:type="dxa"/>
            <w:left w:w="108" w:type="dxa"/>
            <w:bottom w:w="0" w:type="dxa"/>
            <w:right w:w="108" w:type="dxa"/>
          </w:tblCellMar>
        </w:tblPrEx>
        <w:trPr>
          <w:trHeight w:val="4016"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《未成行旅客、行李证明》</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6912" behindDoc="0" locked="0" layoutInCell="1" allowOverlap="1">
                  <wp:simplePos x="0" y="0"/>
                  <wp:positionH relativeFrom="column">
                    <wp:posOffset>-12700</wp:posOffset>
                  </wp:positionH>
                  <wp:positionV relativeFrom="paragraph">
                    <wp:posOffset>140970</wp:posOffset>
                  </wp:positionV>
                  <wp:extent cx="664210" cy="1012190"/>
                  <wp:effectExtent l="0" t="0" r="2540" b="16510"/>
                  <wp:wrapNone/>
                  <wp:docPr id="33" name="图片_4_SpCnt_1"/>
                  <wp:cNvGraphicFramePr/>
                  <a:graphic xmlns:a="http://schemas.openxmlformats.org/drawingml/2006/main">
                    <a:graphicData uri="http://schemas.openxmlformats.org/drawingml/2006/picture">
                      <pic:pic xmlns:pic="http://schemas.openxmlformats.org/drawingml/2006/picture">
                        <pic:nvPicPr>
                          <pic:cNvPr id="33" name="图片_4_SpCnt_1"/>
                          <pic:cNvPicPr/>
                        </pic:nvPicPr>
                        <pic:blipFill>
                          <a:blip r:embed="rId47"/>
                          <a:stretch>
                            <a:fillRect/>
                          </a:stretch>
                        </pic:blipFill>
                        <pic:spPr>
                          <a:xfrm>
                            <a:off x="0" y="0"/>
                            <a:ext cx="664210" cy="101219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87936" behindDoc="0" locked="0" layoutInCell="1" allowOverlap="1">
                  <wp:simplePos x="0" y="0"/>
                  <wp:positionH relativeFrom="column">
                    <wp:posOffset>479425</wp:posOffset>
                  </wp:positionH>
                  <wp:positionV relativeFrom="paragraph">
                    <wp:posOffset>405130</wp:posOffset>
                  </wp:positionV>
                  <wp:extent cx="969645" cy="1213485"/>
                  <wp:effectExtent l="0" t="0" r="1905" b="5715"/>
                  <wp:wrapNone/>
                  <wp:docPr id="34" name="图片_3_SpCnt_1"/>
                  <wp:cNvGraphicFramePr/>
                  <a:graphic xmlns:a="http://schemas.openxmlformats.org/drawingml/2006/main">
                    <a:graphicData uri="http://schemas.openxmlformats.org/drawingml/2006/picture">
                      <pic:pic xmlns:pic="http://schemas.openxmlformats.org/drawingml/2006/picture">
                        <pic:nvPicPr>
                          <pic:cNvPr id="34" name="图片_3_SpCnt_1"/>
                          <pic:cNvPicPr/>
                        </pic:nvPicPr>
                        <pic:blipFill>
                          <a:blip r:embed="rId48"/>
                          <a:stretch>
                            <a:fillRect/>
                          </a:stretch>
                        </pic:blipFill>
                        <pic:spPr>
                          <a:xfrm>
                            <a:off x="0" y="0"/>
                            <a:ext cx="969645" cy="121348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88960" behindDoc="0" locked="0" layoutInCell="1" allowOverlap="1">
                  <wp:simplePos x="0" y="0"/>
                  <wp:positionH relativeFrom="column">
                    <wp:posOffset>1208405</wp:posOffset>
                  </wp:positionH>
                  <wp:positionV relativeFrom="paragraph">
                    <wp:posOffset>956310</wp:posOffset>
                  </wp:positionV>
                  <wp:extent cx="956945" cy="1419225"/>
                  <wp:effectExtent l="0" t="0" r="14605" b="9525"/>
                  <wp:wrapNone/>
                  <wp:docPr id="35" name="图片_5_SpCnt_1"/>
                  <wp:cNvGraphicFramePr/>
                  <a:graphic xmlns:a="http://schemas.openxmlformats.org/drawingml/2006/main">
                    <a:graphicData uri="http://schemas.openxmlformats.org/drawingml/2006/picture">
                      <pic:pic xmlns:pic="http://schemas.openxmlformats.org/drawingml/2006/picture">
                        <pic:nvPicPr>
                          <pic:cNvPr id="35" name="图片_5_SpCnt_1"/>
                          <pic:cNvPicPr/>
                        </pic:nvPicPr>
                        <pic:blipFill>
                          <a:blip r:embed="rId49"/>
                          <a:stretch>
                            <a:fillRect/>
                          </a:stretch>
                        </pic:blipFill>
                        <pic:spPr>
                          <a:xfrm>
                            <a:off x="0" y="0"/>
                            <a:ext cx="956945" cy="141922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A4，封面棕色牛皮纸单面印刷；内页：无碳复写纸，一式两联，第一联单面黑白印刷，第二联印红色公章，胶成本，50份/本，每本100张，有编号，有易撕线，每本有垫板。</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w:t>
            </w:r>
          </w:p>
        </w:tc>
      </w:tr>
      <w:tr>
        <w:tblPrEx>
          <w:tblCellMar>
            <w:top w:w="0" w:type="dxa"/>
            <w:left w:w="108" w:type="dxa"/>
            <w:bottom w:w="0" w:type="dxa"/>
            <w:right w:w="108" w:type="dxa"/>
          </w:tblCellMar>
        </w:tblPrEx>
        <w:trPr>
          <w:trHeight w:val="406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免除责任行李牌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9984" behindDoc="0" locked="0" layoutInCell="1" allowOverlap="1">
                  <wp:simplePos x="0" y="0"/>
                  <wp:positionH relativeFrom="column">
                    <wp:posOffset>488315</wp:posOffset>
                  </wp:positionH>
                  <wp:positionV relativeFrom="paragraph">
                    <wp:posOffset>198755</wp:posOffset>
                  </wp:positionV>
                  <wp:extent cx="1364615" cy="2246630"/>
                  <wp:effectExtent l="0" t="0" r="6985" b="1270"/>
                  <wp:wrapNone/>
                  <wp:docPr id="36" name="图片_5_SpCnt_2"/>
                  <wp:cNvGraphicFramePr/>
                  <a:graphic xmlns:a="http://schemas.openxmlformats.org/drawingml/2006/main">
                    <a:graphicData uri="http://schemas.openxmlformats.org/drawingml/2006/picture">
                      <pic:pic xmlns:pic="http://schemas.openxmlformats.org/drawingml/2006/picture">
                        <pic:nvPicPr>
                          <pic:cNvPr id="36" name="图片_5_SpCnt_2"/>
                          <pic:cNvPicPr/>
                        </pic:nvPicPr>
                        <pic:blipFill>
                          <a:blip r:embed="rId50"/>
                          <a:stretch>
                            <a:fillRect/>
                          </a:stretch>
                        </pic:blipFill>
                        <pic:spPr>
                          <a:xfrm>
                            <a:off x="0" y="0"/>
                            <a:ext cx="1364615" cy="224663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直角吊卡，250克白卡纸，5.5*20.5CM，双面彩印，反面可写字，打孔加鸡眼扣，穿弹力绳，每张含4个号码，压易撕线3条.</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24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锂电池申报和放行单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1008" behindDoc="0" locked="0" layoutInCell="1" allowOverlap="1">
                  <wp:simplePos x="0" y="0"/>
                  <wp:positionH relativeFrom="column">
                    <wp:posOffset>229870</wp:posOffset>
                  </wp:positionH>
                  <wp:positionV relativeFrom="paragraph">
                    <wp:posOffset>165735</wp:posOffset>
                  </wp:positionV>
                  <wp:extent cx="1845310" cy="1393825"/>
                  <wp:effectExtent l="0" t="0" r="2540" b="15875"/>
                  <wp:wrapNone/>
                  <wp:docPr id="37" name="图片_3_SpCnt_2"/>
                  <wp:cNvGraphicFramePr/>
                  <a:graphic xmlns:a="http://schemas.openxmlformats.org/drawingml/2006/main">
                    <a:graphicData uri="http://schemas.openxmlformats.org/drawingml/2006/picture">
                      <pic:pic xmlns:pic="http://schemas.openxmlformats.org/drawingml/2006/picture">
                        <pic:nvPicPr>
                          <pic:cNvPr id="37" name="图片_3_SpCnt_2"/>
                          <pic:cNvPicPr/>
                        </pic:nvPicPr>
                        <pic:blipFill>
                          <a:blip r:embed="rId51"/>
                          <a:stretch>
                            <a:fillRect/>
                          </a:stretch>
                        </pic:blipFill>
                        <pic:spPr>
                          <a:xfrm>
                            <a:off x="0" y="0"/>
                            <a:ext cx="1845310" cy="139382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A5，封面棕色牛皮纸，内页：无碳复写纸，一式三联，每一套右上角加编号，每一页左侧加虚线，100张/本</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234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宁波机场集团有限公司暂存物品凭单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2032" behindDoc="0" locked="0" layoutInCell="1" allowOverlap="1">
                  <wp:simplePos x="0" y="0"/>
                  <wp:positionH relativeFrom="column">
                    <wp:posOffset>93980</wp:posOffset>
                  </wp:positionH>
                  <wp:positionV relativeFrom="paragraph">
                    <wp:posOffset>92710</wp:posOffset>
                  </wp:positionV>
                  <wp:extent cx="1740535" cy="1306195"/>
                  <wp:effectExtent l="0" t="0" r="12065" b="8255"/>
                  <wp:wrapNone/>
                  <wp:docPr id="38" name="图片_5_SpCnt_3"/>
                  <wp:cNvGraphicFramePr/>
                  <a:graphic xmlns:a="http://schemas.openxmlformats.org/drawingml/2006/main">
                    <a:graphicData uri="http://schemas.openxmlformats.org/drawingml/2006/picture">
                      <pic:pic xmlns:pic="http://schemas.openxmlformats.org/drawingml/2006/picture">
                        <pic:nvPicPr>
                          <pic:cNvPr id="38" name="图片_5_SpCnt_3"/>
                          <pic:cNvPicPr/>
                        </pic:nvPicPr>
                        <pic:blipFill>
                          <a:blip r:embed="rId52"/>
                          <a:stretch>
                            <a:fillRect/>
                          </a:stretch>
                        </pic:blipFill>
                        <pic:spPr>
                          <a:xfrm>
                            <a:off x="0" y="0"/>
                            <a:ext cx="1740535" cy="130619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A5，封面棕色牛皮纸，内页：无碳复写纸，一式三联，每一套右上角加编号，每一页左侧加虚线，100张/本</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368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航空器清查和交接单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3056" behindDoc="0" locked="0" layoutInCell="1" allowOverlap="1">
                  <wp:simplePos x="0" y="0"/>
                  <wp:positionH relativeFrom="column">
                    <wp:posOffset>352425</wp:posOffset>
                  </wp:positionH>
                  <wp:positionV relativeFrom="paragraph">
                    <wp:posOffset>67310</wp:posOffset>
                  </wp:positionV>
                  <wp:extent cx="1503045" cy="2009775"/>
                  <wp:effectExtent l="0" t="0" r="1905" b="9525"/>
                  <wp:wrapNone/>
                  <wp:docPr id="39" name="图片_7_SpCnt_2"/>
                  <wp:cNvGraphicFramePr/>
                  <a:graphic xmlns:a="http://schemas.openxmlformats.org/drawingml/2006/main">
                    <a:graphicData uri="http://schemas.openxmlformats.org/drawingml/2006/picture">
                      <pic:pic xmlns:pic="http://schemas.openxmlformats.org/drawingml/2006/picture">
                        <pic:nvPicPr>
                          <pic:cNvPr id="39" name="图片_7_SpCnt_2"/>
                          <pic:cNvPicPr/>
                        </pic:nvPicPr>
                        <pic:blipFill>
                          <a:blip r:embed="rId53"/>
                          <a:stretch>
                            <a:fillRect/>
                          </a:stretch>
                        </pic:blipFill>
                        <pic:spPr>
                          <a:xfrm>
                            <a:off x="0" y="0"/>
                            <a:ext cx="1503045" cy="200977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A5，横开本，封面230克蓝色皮纹纸，单面单色印刷，内页70克双胶，双面单色印刷，100张/本</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306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安检代邮寄委托书</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4080" behindDoc="0" locked="0" layoutInCell="1" allowOverlap="1">
                  <wp:simplePos x="0" y="0"/>
                  <wp:positionH relativeFrom="column">
                    <wp:posOffset>456565</wp:posOffset>
                  </wp:positionH>
                  <wp:positionV relativeFrom="paragraph">
                    <wp:posOffset>62865</wp:posOffset>
                  </wp:positionV>
                  <wp:extent cx="1331595" cy="1798320"/>
                  <wp:effectExtent l="0" t="0" r="1905" b="11430"/>
                  <wp:wrapNone/>
                  <wp:docPr id="40" name="图片_10_SpCnt_1"/>
                  <wp:cNvGraphicFramePr/>
                  <a:graphic xmlns:a="http://schemas.openxmlformats.org/drawingml/2006/main">
                    <a:graphicData uri="http://schemas.openxmlformats.org/drawingml/2006/picture">
                      <pic:pic xmlns:pic="http://schemas.openxmlformats.org/drawingml/2006/picture">
                        <pic:nvPicPr>
                          <pic:cNvPr id="40" name="图片_10_SpCnt_1"/>
                          <pic:cNvPicPr/>
                        </pic:nvPicPr>
                        <pic:blipFill>
                          <a:blip r:embed="rId54"/>
                          <a:stretch>
                            <a:fillRect/>
                          </a:stretch>
                        </pic:blipFill>
                        <pic:spPr>
                          <a:xfrm>
                            <a:off x="0" y="0"/>
                            <a:ext cx="1331595" cy="179832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A4纸规格，封面棕色牛皮纸，内页：无碳复写纸，一式两联，每一套右上角加编号，每一页顶端加虚线，100张/本</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306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财务部凭证盒</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5104" behindDoc="0" locked="0" layoutInCell="1" allowOverlap="1">
                  <wp:simplePos x="0" y="0"/>
                  <wp:positionH relativeFrom="column">
                    <wp:posOffset>408940</wp:posOffset>
                  </wp:positionH>
                  <wp:positionV relativeFrom="paragraph">
                    <wp:posOffset>251460</wp:posOffset>
                  </wp:positionV>
                  <wp:extent cx="1447165" cy="1428750"/>
                  <wp:effectExtent l="0" t="0" r="635" b="0"/>
                  <wp:wrapNone/>
                  <wp:docPr id="41" name="Picture_1155"/>
                  <wp:cNvGraphicFramePr/>
                  <a:graphic xmlns:a="http://schemas.openxmlformats.org/drawingml/2006/main">
                    <a:graphicData uri="http://schemas.openxmlformats.org/drawingml/2006/picture">
                      <pic:pic xmlns:pic="http://schemas.openxmlformats.org/drawingml/2006/picture">
                        <pic:nvPicPr>
                          <pic:cNvPr id="41" name="Picture_1155"/>
                          <pic:cNvPicPr/>
                        </pic:nvPicPr>
                        <pic:blipFill>
                          <a:blip r:embed="rId55"/>
                          <a:stretch>
                            <a:fillRect/>
                          </a:stretch>
                        </pic:blipFill>
                        <pic:spPr>
                          <a:xfrm>
                            <a:off x="0" y="0"/>
                            <a:ext cx="1447165" cy="142875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定制尺寸：档案盒31*22*3cm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材质：680g国产无酸纸</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18</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27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财务部业务袋</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6128" behindDoc="0" locked="0" layoutInCell="1" allowOverlap="1">
                  <wp:simplePos x="0" y="0"/>
                  <wp:positionH relativeFrom="column">
                    <wp:posOffset>474980</wp:posOffset>
                  </wp:positionH>
                  <wp:positionV relativeFrom="paragraph">
                    <wp:posOffset>186055</wp:posOffset>
                  </wp:positionV>
                  <wp:extent cx="1158240" cy="1360170"/>
                  <wp:effectExtent l="0" t="0" r="3810" b="11430"/>
                  <wp:wrapNone/>
                  <wp:docPr id="42" name="图片_2_SpCnt_2"/>
                  <wp:cNvGraphicFramePr/>
                  <a:graphic xmlns:a="http://schemas.openxmlformats.org/drawingml/2006/main">
                    <a:graphicData uri="http://schemas.openxmlformats.org/drawingml/2006/picture">
                      <pic:pic xmlns:pic="http://schemas.openxmlformats.org/drawingml/2006/picture">
                        <pic:nvPicPr>
                          <pic:cNvPr id="42" name="图片_2_SpCnt_2"/>
                          <pic:cNvPicPr/>
                        </pic:nvPicPr>
                        <pic:blipFill>
                          <a:blip r:embed="rId56"/>
                          <a:stretch>
                            <a:fillRect/>
                          </a:stretch>
                        </pic:blipFill>
                        <pic:spPr>
                          <a:xfrm>
                            <a:off x="0" y="0"/>
                            <a:ext cx="1158240" cy="136017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120克牛皮纸，特大档案袋28*43cm</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226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大信封</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7152" behindDoc="0" locked="0" layoutInCell="1" allowOverlap="1">
                  <wp:simplePos x="0" y="0"/>
                  <wp:positionH relativeFrom="column">
                    <wp:posOffset>180340</wp:posOffset>
                  </wp:positionH>
                  <wp:positionV relativeFrom="paragraph">
                    <wp:posOffset>165735</wp:posOffset>
                  </wp:positionV>
                  <wp:extent cx="1858010" cy="1141095"/>
                  <wp:effectExtent l="0" t="0" r="8890" b="1905"/>
                  <wp:wrapNone/>
                  <wp:docPr id="43" name="图片_15_SpCnt_1"/>
                  <wp:cNvGraphicFramePr/>
                  <a:graphic xmlns:a="http://schemas.openxmlformats.org/drawingml/2006/main">
                    <a:graphicData uri="http://schemas.openxmlformats.org/drawingml/2006/picture">
                      <pic:pic xmlns:pic="http://schemas.openxmlformats.org/drawingml/2006/picture">
                        <pic:nvPicPr>
                          <pic:cNvPr id="43" name="图片_15_SpCnt_1"/>
                          <pic:cNvPicPr/>
                        </pic:nvPicPr>
                        <pic:blipFill>
                          <a:blip r:embed="rId57"/>
                          <a:stretch>
                            <a:fillRect/>
                          </a:stretch>
                        </pic:blipFill>
                        <pic:spPr>
                          <a:xfrm>
                            <a:off x="0" y="0"/>
                            <a:ext cx="1858010" cy="114109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9号(C4)信封:324×229mm，150克牛皮纸，彩色印刷</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26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29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中信封</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8176" behindDoc="0" locked="0" layoutInCell="1" allowOverlap="1">
                  <wp:simplePos x="0" y="0"/>
                  <wp:positionH relativeFrom="column">
                    <wp:posOffset>247015</wp:posOffset>
                  </wp:positionH>
                  <wp:positionV relativeFrom="paragraph">
                    <wp:posOffset>65405</wp:posOffset>
                  </wp:positionV>
                  <wp:extent cx="581660" cy="1279525"/>
                  <wp:effectExtent l="0" t="0" r="8890" b="15875"/>
                  <wp:wrapNone/>
                  <wp:docPr id="44" name="图片_12"/>
                  <wp:cNvGraphicFramePr/>
                  <a:graphic xmlns:a="http://schemas.openxmlformats.org/drawingml/2006/main">
                    <a:graphicData uri="http://schemas.openxmlformats.org/drawingml/2006/picture">
                      <pic:pic xmlns:pic="http://schemas.openxmlformats.org/drawingml/2006/picture">
                        <pic:nvPicPr>
                          <pic:cNvPr id="44" name="图片_12"/>
                          <pic:cNvPicPr/>
                        </pic:nvPicPr>
                        <pic:blipFill>
                          <a:blip r:embed="rId58"/>
                          <a:stretch>
                            <a:fillRect/>
                          </a:stretch>
                        </pic:blipFill>
                        <pic:spPr>
                          <a:xfrm>
                            <a:off x="0" y="0"/>
                            <a:ext cx="581660" cy="127952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7号(C5)信封:229×162mm，120克牛皮纸，彩色印刷</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309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小信封</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9200" behindDoc="0" locked="0" layoutInCell="1" allowOverlap="1">
                  <wp:simplePos x="0" y="0"/>
                  <wp:positionH relativeFrom="column">
                    <wp:posOffset>125095</wp:posOffset>
                  </wp:positionH>
                  <wp:positionV relativeFrom="paragraph">
                    <wp:posOffset>92075</wp:posOffset>
                  </wp:positionV>
                  <wp:extent cx="808355" cy="1485265"/>
                  <wp:effectExtent l="0" t="0" r="10795" b="635"/>
                  <wp:wrapNone/>
                  <wp:docPr id="45" name="图片_44"/>
                  <wp:cNvGraphicFramePr/>
                  <a:graphic xmlns:a="http://schemas.openxmlformats.org/drawingml/2006/main">
                    <a:graphicData uri="http://schemas.openxmlformats.org/drawingml/2006/picture">
                      <pic:pic xmlns:pic="http://schemas.openxmlformats.org/drawingml/2006/picture">
                        <pic:nvPicPr>
                          <pic:cNvPr id="45" name="图片_44"/>
                          <pic:cNvPicPr/>
                        </pic:nvPicPr>
                        <pic:blipFill>
                          <a:blip r:embed="rId59"/>
                          <a:stretch>
                            <a:fillRect/>
                          </a:stretch>
                        </pic:blipFill>
                        <pic:spPr>
                          <a:xfrm>
                            <a:off x="0" y="0"/>
                            <a:ext cx="808355" cy="148526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5号(DL)信封:220×110mm ，120克牛皮纸　，彩色印刷</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000</w:t>
            </w:r>
          </w:p>
        </w:tc>
      </w:tr>
      <w:tr>
        <w:tblPrEx>
          <w:tblCellMar>
            <w:top w:w="0" w:type="dxa"/>
            <w:left w:w="108" w:type="dxa"/>
            <w:bottom w:w="0" w:type="dxa"/>
            <w:right w:w="108" w:type="dxa"/>
          </w:tblCellMar>
        </w:tblPrEx>
        <w:trPr>
          <w:trHeight w:val="941" w:hRule="atLeast"/>
          <w:jc w:val="center"/>
        </w:trPr>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值班日记本</w:t>
            </w:r>
          </w:p>
        </w:tc>
        <w:tc>
          <w:tcPr>
            <w:tcW w:w="3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p>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0224" behindDoc="0" locked="0" layoutInCell="1" allowOverlap="1">
                  <wp:simplePos x="0" y="0"/>
                  <wp:positionH relativeFrom="column">
                    <wp:posOffset>211455</wp:posOffset>
                  </wp:positionH>
                  <wp:positionV relativeFrom="paragraph">
                    <wp:posOffset>77470</wp:posOffset>
                  </wp:positionV>
                  <wp:extent cx="828675" cy="1270000"/>
                  <wp:effectExtent l="0" t="0" r="9525" b="6350"/>
                  <wp:wrapNone/>
                  <wp:docPr id="46" name="图片_17"/>
                  <wp:cNvGraphicFramePr/>
                  <a:graphic xmlns:a="http://schemas.openxmlformats.org/drawingml/2006/main">
                    <a:graphicData uri="http://schemas.openxmlformats.org/drawingml/2006/picture">
                      <pic:pic xmlns:pic="http://schemas.openxmlformats.org/drawingml/2006/picture">
                        <pic:nvPicPr>
                          <pic:cNvPr id="46" name="图片_17"/>
                          <pic:cNvPicPr/>
                        </pic:nvPicPr>
                        <pic:blipFill>
                          <a:blip r:embed="rId60"/>
                          <a:srcRect t="15871" b="10654"/>
                          <a:stretch>
                            <a:fillRect/>
                          </a:stretch>
                        </pic:blipFill>
                        <pic:spPr>
                          <a:xfrm>
                            <a:off x="0" y="0"/>
                            <a:ext cx="828675" cy="1270000"/>
                          </a:xfrm>
                          <a:prstGeom prst="rect">
                            <a:avLst/>
                          </a:prstGeom>
                          <a:noFill/>
                          <a:ln>
                            <a:noFill/>
                          </a:ln>
                        </pic:spPr>
                      </pic:pic>
                    </a:graphicData>
                  </a:graphic>
                </wp:anchor>
              </w:drawing>
            </w:r>
          </w:p>
        </w:tc>
        <w:tc>
          <w:tcPr>
            <w:tcW w:w="18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成品尺寸是198*270mm，精装本，封壳彩印覆光膜，籿2.5mm纸板，菲页120克白卡，内页100张70克双面。</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6</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1820" w:hRule="atLeast"/>
          <w:jc w:val="center"/>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会议记录本</w:t>
            </w:r>
          </w:p>
        </w:tc>
        <w:tc>
          <w:tcPr>
            <w:tcW w:w="3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6</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1360" w:hRule="atLeast"/>
          <w:jc w:val="center"/>
        </w:trPr>
        <w:tc>
          <w:tcPr>
            <w:tcW w:w="78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各类台帐本20-50本印</w:t>
            </w:r>
          </w:p>
        </w:tc>
        <w:tc>
          <w:tcPr>
            <w:tcW w:w="3848"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1248" behindDoc="0" locked="0" layoutInCell="1" allowOverlap="1">
                  <wp:simplePos x="0" y="0"/>
                  <wp:positionH relativeFrom="column">
                    <wp:posOffset>762635</wp:posOffset>
                  </wp:positionH>
                  <wp:positionV relativeFrom="paragraph">
                    <wp:posOffset>166370</wp:posOffset>
                  </wp:positionV>
                  <wp:extent cx="806450" cy="1691640"/>
                  <wp:effectExtent l="0" t="0" r="3810" b="12700"/>
                  <wp:wrapNone/>
                  <wp:docPr id="47" name="图片_18_SpCnt_1"/>
                  <wp:cNvGraphicFramePr/>
                  <a:graphic xmlns:a="http://schemas.openxmlformats.org/drawingml/2006/main">
                    <a:graphicData uri="http://schemas.openxmlformats.org/drawingml/2006/picture">
                      <pic:pic xmlns:pic="http://schemas.openxmlformats.org/drawingml/2006/picture">
                        <pic:nvPicPr>
                          <pic:cNvPr id="47" name="图片_18_SpCnt_1"/>
                          <pic:cNvPicPr/>
                        </pic:nvPicPr>
                        <pic:blipFill>
                          <a:blip r:embed="rId61"/>
                          <a:stretch>
                            <a:fillRect/>
                          </a:stretch>
                        </pic:blipFill>
                        <pic:spPr>
                          <a:xfrm rot="16200000">
                            <a:off x="0" y="0"/>
                            <a:ext cx="806450" cy="169164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A4、100张，蓝色软面本，内页70克双胶纸，双面单色印刷；封面230克皮纹单色印刷，胶装成册。</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9</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1360" w:hRule="atLeast"/>
          <w:jc w:val="center"/>
        </w:trPr>
        <w:tc>
          <w:tcPr>
            <w:tcW w:w="78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各类台帐本100本-200本印</w:t>
            </w:r>
          </w:p>
        </w:tc>
        <w:tc>
          <w:tcPr>
            <w:tcW w:w="3848"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kern w:val="0"/>
                <w:szCs w:val="21"/>
                <w:highlight w:val="none"/>
                <w:bdr w:val="single" w:color="000000" w:sz="4" w:space="0"/>
                <w:lang w:bidi="ar"/>
              </w:rPr>
            </w:pP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A4、100张，蓝色软面本，内页70克双胶纸，双面单色印刷；封面230克皮纹单色印刷，胶装成册。</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2865" w:hRule="atLeast"/>
          <w:jc w:val="center"/>
        </w:trPr>
        <w:tc>
          <w:tcPr>
            <w:tcW w:w="78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3</w:t>
            </w:r>
          </w:p>
        </w:tc>
        <w:tc>
          <w:tcPr>
            <w:tcW w:w="14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各类消防检查卡</w:t>
            </w:r>
          </w:p>
        </w:tc>
        <w:tc>
          <w:tcPr>
            <w:tcW w:w="384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2272" behindDoc="0" locked="0" layoutInCell="1" allowOverlap="1">
                  <wp:simplePos x="0" y="0"/>
                  <wp:positionH relativeFrom="column">
                    <wp:posOffset>66040</wp:posOffset>
                  </wp:positionH>
                  <wp:positionV relativeFrom="paragraph">
                    <wp:posOffset>69215</wp:posOffset>
                  </wp:positionV>
                  <wp:extent cx="1249680" cy="1588770"/>
                  <wp:effectExtent l="0" t="0" r="7620" b="11430"/>
                  <wp:wrapNone/>
                  <wp:docPr id="48" name="图片_1_SpCnt_4"/>
                  <wp:cNvGraphicFramePr/>
                  <a:graphic xmlns:a="http://schemas.openxmlformats.org/drawingml/2006/main">
                    <a:graphicData uri="http://schemas.openxmlformats.org/drawingml/2006/picture">
                      <pic:pic xmlns:pic="http://schemas.openxmlformats.org/drawingml/2006/picture">
                        <pic:nvPicPr>
                          <pic:cNvPr id="48" name="图片_1_SpCnt_4"/>
                          <pic:cNvPicPr/>
                        </pic:nvPicPr>
                        <pic:blipFill>
                          <a:blip r:embed="rId62"/>
                          <a:stretch>
                            <a:fillRect/>
                          </a:stretch>
                        </pic:blipFill>
                        <pic:spPr>
                          <a:xfrm>
                            <a:off x="0" y="0"/>
                            <a:ext cx="1249680" cy="1588770"/>
                          </a:xfrm>
                          <a:prstGeom prst="rect">
                            <a:avLst/>
                          </a:prstGeom>
                          <a:noFill/>
                          <a:ln>
                            <a:noFill/>
                          </a:ln>
                        </pic:spPr>
                      </pic:pic>
                    </a:graphicData>
                  </a:graphic>
                </wp:anchor>
              </w:drawing>
            </w:r>
          </w:p>
        </w:tc>
        <w:tc>
          <w:tcPr>
            <w:tcW w:w="187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22cm*15cm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350克灰板卡，正反面印刷，打孔，穿绳</w:t>
            </w:r>
          </w:p>
        </w:tc>
        <w:tc>
          <w:tcPr>
            <w:tcW w:w="198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6</w:t>
            </w:r>
            <w:r>
              <w:rPr>
                <w:rFonts w:hint="eastAsia" w:ascii="宋体" w:hAnsi="宋体" w:cs="宋体"/>
                <w:color w:val="auto"/>
                <w:kern w:val="0"/>
                <w:szCs w:val="21"/>
                <w:highlight w:val="none"/>
                <w:lang w:bidi="ar"/>
              </w:rPr>
              <w:t>0000</w:t>
            </w:r>
          </w:p>
        </w:tc>
      </w:tr>
      <w:tr>
        <w:tblPrEx>
          <w:tblCellMar>
            <w:top w:w="0" w:type="dxa"/>
            <w:left w:w="108" w:type="dxa"/>
            <w:bottom w:w="0" w:type="dxa"/>
            <w:right w:w="108" w:type="dxa"/>
          </w:tblCellMar>
        </w:tblPrEx>
        <w:trPr>
          <w:trHeight w:val="285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封条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3296" behindDoc="0" locked="0" layoutInCell="1" allowOverlap="1">
                  <wp:simplePos x="0" y="0"/>
                  <wp:positionH relativeFrom="column">
                    <wp:posOffset>47625</wp:posOffset>
                  </wp:positionH>
                  <wp:positionV relativeFrom="paragraph">
                    <wp:posOffset>130810</wp:posOffset>
                  </wp:positionV>
                  <wp:extent cx="1220470" cy="1574800"/>
                  <wp:effectExtent l="0" t="0" r="17780" b="6350"/>
                  <wp:wrapNone/>
                  <wp:docPr id="50" name="图片_56"/>
                  <wp:cNvGraphicFramePr/>
                  <a:graphic xmlns:a="http://schemas.openxmlformats.org/drawingml/2006/main">
                    <a:graphicData uri="http://schemas.openxmlformats.org/drawingml/2006/picture">
                      <pic:pic xmlns:pic="http://schemas.openxmlformats.org/drawingml/2006/picture">
                        <pic:nvPicPr>
                          <pic:cNvPr id="50" name="图片_56"/>
                          <pic:cNvPicPr/>
                        </pic:nvPicPr>
                        <pic:blipFill>
                          <a:blip r:embed="rId63"/>
                          <a:stretch>
                            <a:fillRect/>
                          </a:stretch>
                        </pic:blipFill>
                        <pic:spPr>
                          <a:xfrm>
                            <a:off x="0" y="0"/>
                            <a:ext cx="1220470" cy="157480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A4纸，不干胶，彩印，每张22个封条，压4条齿线。</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500</w:t>
            </w:r>
          </w:p>
        </w:tc>
      </w:tr>
      <w:tr>
        <w:tblPrEx>
          <w:tblCellMar>
            <w:top w:w="0" w:type="dxa"/>
            <w:left w:w="108" w:type="dxa"/>
            <w:bottom w:w="0" w:type="dxa"/>
            <w:right w:w="108" w:type="dxa"/>
          </w:tblCellMar>
        </w:tblPrEx>
        <w:trPr>
          <w:trHeight w:val="285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机务工卡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4320" behindDoc="0" locked="0" layoutInCell="1" allowOverlap="1">
                  <wp:simplePos x="0" y="0"/>
                  <wp:positionH relativeFrom="column">
                    <wp:posOffset>36830</wp:posOffset>
                  </wp:positionH>
                  <wp:positionV relativeFrom="paragraph">
                    <wp:posOffset>150495</wp:posOffset>
                  </wp:positionV>
                  <wp:extent cx="1272540" cy="1568450"/>
                  <wp:effectExtent l="0" t="0" r="3810" b="12700"/>
                  <wp:wrapNone/>
                  <wp:docPr id="51" name="图片_1_SpCnt_5"/>
                  <wp:cNvGraphicFramePr/>
                  <a:graphic xmlns:a="http://schemas.openxmlformats.org/drawingml/2006/main">
                    <a:graphicData uri="http://schemas.openxmlformats.org/drawingml/2006/picture">
                      <pic:pic xmlns:pic="http://schemas.openxmlformats.org/drawingml/2006/picture">
                        <pic:nvPicPr>
                          <pic:cNvPr id="51" name="图片_1_SpCnt_5"/>
                          <pic:cNvPicPr/>
                        </pic:nvPicPr>
                        <pic:blipFill>
                          <a:blip r:embed="rId64"/>
                          <a:stretch>
                            <a:fillRect/>
                          </a:stretch>
                        </pic:blipFill>
                        <pic:spPr>
                          <a:xfrm>
                            <a:off x="0" y="0"/>
                            <a:ext cx="1272540" cy="156845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A4,黑白单面印刷  70克纸张</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6</w:t>
            </w:r>
            <w:r>
              <w:rPr>
                <w:rFonts w:hint="eastAsia" w:ascii="宋体" w:hAnsi="宋体" w:cs="宋体"/>
                <w:color w:val="auto"/>
                <w:kern w:val="0"/>
                <w:szCs w:val="21"/>
                <w:highlight w:val="none"/>
                <w:lang w:bidi="ar"/>
              </w:rPr>
              <w:t>0000</w:t>
            </w:r>
          </w:p>
        </w:tc>
      </w:tr>
      <w:tr>
        <w:tblPrEx>
          <w:tblCellMar>
            <w:top w:w="0" w:type="dxa"/>
            <w:left w:w="108" w:type="dxa"/>
            <w:bottom w:w="0" w:type="dxa"/>
            <w:right w:w="108" w:type="dxa"/>
          </w:tblCellMar>
        </w:tblPrEx>
        <w:trPr>
          <w:trHeight w:val="171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多收行李记录卡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5344" behindDoc="0" locked="0" layoutInCell="1" allowOverlap="1">
                  <wp:simplePos x="0" y="0"/>
                  <wp:positionH relativeFrom="column">
                    <wp:posOffset>171450</wp:posOffset>
                  </wp:positionH>
                  <wp:positionV relativeFrom="paragraph">
                    <wp:posOffset>85090</wp:posOffset>
                  </wp:positionV>
                  <wp:extent cx="535940" cy="941070"/>
                  <wp:effectExtent l="0" t="0" r="16510" b="11430"/>
                  <wp:wrapNone/>
                  <wp:docPr id="52" name="图片_9"/>
                  <wp:cNvGraphicFramePr/>
                  <a:graphic xmlns:a="http://schemas.openxmlformats.org/drawingml/2006/main">
                    <a:graphicData uri="http://schemas.openxmlformats.org/drawingml/2006/picture">
                      <pic:pic xmlns:pic="http://schemas.openxmlformats.org/drawingml/2006/picture">
                        <pic:nvPicPr>
                          <pic:cNvPr id="52" name="图片_9"/>
                          <pic:cNvPicPr/>
                        </pic:nvPicPr>
                        <pic:blipFill>
                          <a:blip r:embed="rId65"/>
                          <a:stretch>
                            <a:fillRect/>
                          </a:stretch>
                        </pic:blipFill>
                        <pic:spPr>
                          <a:xfrm>
                            <a:off x="0" y="0"/>
                            <a:ext cx="535940" cy="94107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双面专色印刷，压痕，打孔，孔穿弹力绳</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9</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235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劳动合同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6368" behindDoc="0" locked="0" layoutInCell="1" allowOverlap="1">
                  <wp:simplePos x="0" y="0"/>
                  <wp:positionH relativeFrom="column">
                    <wp:posOffset>121285</wp:posOffset>
                  </wp:positionH>
                  <wp:positionV relativeFrom="paragraph">
                    <wp:posOffset>93345</wp:posOffset>
                  </wp:positionV>
                  <wp:extent cx="641350" cy="1325880"/>
                  <wp:effectExtent l="0" t="0" r="6350" b="7620"/>
                  <wp:wrapNone/>
                  <wp:docPr id="53" name="图片_19_SpCnt_1"/>
                  <wp:cNvGraphicFramePr/>
                  <a:graphic xmlns:a="http://schemas.openxmlformats.org/drawingml/2006/main">
                    <a:graphicData uri="http://schemas.openxmlformats.org/drawingml/2006/picture">
                      <pic:pic xmlns:pic="http://schemas.openxmlformats.org/drawingml/2006/picture">
                        <pic:nvPicPr>
                          <pic:cNvPr id="53" name="图片_19_SpCnt_1"/>
                          <pic:cNvPicPr/>
                        </pic:nvPicPr>
                        <pic:blipFill>
                          <a:blip r:embed="rId66"/>
                          <a:stretch>
                            <a:fillRect/>
                          </a:stretch>
                        </pic:blipFill>
                        <pic:spPr>
                          <a:xfrm>
                            <a:off x="0" y="0"/>
                            <a:ext cx="641350" cy="132588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120克双胶，单色印刷，10页，胶装成册</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1260"/>
                <w:tab w:val="left" w:pos="1900"/>
                <w:tab w:val="left" w:pos="3570"/>
                <w:tab w:val="left" w:pos="4484"/>
              </w:tabs>
              <w:ind w:right="19" w:rightChars="9"/>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12</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228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新员工公共基础知识培训</w:t>
            </w:r>
          </w:p>
        </w:tc>
        <w:tc>
          <w:tcPr>
            <w:tcW w:w="3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7392" behindDoc="0" locked="0" layoutInCell="1" allowOverlap="1">
                  <wp:simplePos x="0" y="0"/>
                  <wp:positionH relativeFrom="column">
                    <wp:posOffset>132715</wp:posOffset>
                  </wp:positionH>
                  <wp:positionV relativeFrom="paragraph">
                    <wp:posOffset>85090</wp:posOffset>
                  </wp:positionV>
                  <wp:extent cx="723900" cy="1266825"/>
                  <wp:effectExtent l="0" t="0" r="0" b="9525"/>
                  <wp:wrapNone/>
                  <wp:docPr id="54" name="图片_53"/>
                  <wp:cNvGraphicFramePr/>
                  <a:graphic xmlns:a="http://schemas.openxmlformats.org/drawingml/2006/main">
                    <a:graphicData uri="http://schemas.openxmlformats.org/drawingml/2006/picture">
                      <pic:pic xmlns:pic="http://schemas.openxmlformats.org/drawingml/2006/picture">
                        <pic:nvPicPr>
                          <pic:cNvPr id="54" name="图片_53"/>
                          <pic:cNvPicPr/>
                        </pic:nvPicPr>
                        <pic:blipFill>
                          <a:blip r:embed="rId67"/>
                          <a:stretch>
                            <a:fillRect/>
                          </a:stretch>
                        </pic:blipFill>
                        <pic:spPr>
                          <a:xfrm>
                            <a:off x="0" y="0"/>
                            <a:ext cx="723900" cy="1266825"/>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A4，封面230克皮纹纸，内页70克双胶152页，胶装</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6</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23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特种车辆（设备）操作证内页</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8416" behindDoc="0" locked="0" layoutInCell="1" allowOverlap="1">
                  <wp:simplePos x="0" y="0"/>
                  <wp:positionH relativeFrom="column">
                    <wp:posOffset>56515</wp:posOffset>
                  </wp:positionH>
                  <wp:positionV relativeFrom="paragraph">
                    <wp:posOffset>293370</wp:posOffset>
                  </wp:positionV>
                  <wp:extent cx="1798955" cy="988060"/>
                  <wp:effectExtent l="0" t="0" r="10795" b="2540"/>
                  <wp:wrapNone/>
                  <wp:docPr id="55" name="图片_2_SpCnt_4"/>
                  <wp:cNvGraphicFramePr/>
                  <a:graphic xmlns:a="http://schemas.openxmlformats.org/drawingml/2006/main">
                    <a:graphicData uri="http://schemas.openxmlformats.org/drawingml/2006/picture">
                      <pic:pic xmlns:pic="http://schemas.openxmlformats.org/drawingml/2006/picture">
                        <pic:nvPicPr>
                          <pic:cNvPr id="55" name="图片_2_SpCnt_4"/>
                          <pic:cNvPicPr/>
                        </pic:nvPicPr>
                        <pic:blipFill>
                          <a:blip r:embed="rId68"/>
                          <a:stretch>
                            <a:fillRect/>
                          </a:stretch>
                        </pic:blipFill>
                        <pic:spPr>
                          <a:xfrm>
                            <a:off x="0" y="0"/>
                            <a:ext cx="1798955" cy="98806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长*宽9.6cm*6.8cm，正反四页</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w:t>
            </w:r>
          </w:p>
        </w:tc>
      </w:tr>
      <w:tr>
        <w:tblPrEx>
          <w:tblCellMar>
            <w:top w:w="0" w:type="dxa"/>
            <w:left w:w="108" w:type="dxa"/>
            <w:bottom w:w="0" w:type="dxa"/>
            <w:right w:w="108" w:type="dxa"/>
          </w:tblCellMar>
        </w:tblPrEx>
        <w:trPr>
          <w:trHeight w:val="235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r>
              <w:rPr>
                <w:rFonts w:ascii="宋体" w:hAnsi="宋体" w:cs="宋体"/>
                <w:color w:val="auto"/>
                <w:kern w:val="0"/>
                <w:szCs w:val="21"/>
                <w:highlight w:val="none"/>
                <w:lang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电话本</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9440" behindDoc="0" locked="0" layoutInCell="1" allowOverlap="1">
                  <wp:simplePos x="0" y="0"/>
                  <wp:positionH relativeFrom="column">
                    <wp:posOffset>296545</wp:posOffset>
                  </wp:positionH>
                  <wp:positionV relativeFrom="paragraph">
                    <wp:posOffset>73660</wp:posOffset>
                  </wp:positionV>
                  <wp:extent cx="1016635" cy="1355090"/>
                  <wp:effectExtent l="0" t="0" r="16510" b="12065"/>
                  <wp:wrapNone/>
                  <wp:docPr id="56" name="图片_2_SpCnt_5"/>
                  <wp:cNvGraphicFramePr/>
                  <a:graphic xmlns:a="http://schemas.openxmlformats.org/drawingml/2006/main">
                    <a:graphicData uri="http://schemas.openxmlformats.org/drawingml/2006/picture">
                      <pic:pic xmlns:pic="http://schemas.openxmlformats.org/drawingml/2006/picture">
                        <pic:nvPicPr>
                          <pic:cNvPr id="56" name="图片_2_SpCnt_5"/>
                          <pic:cNvPicPr/>
                        </pic:nvPicPr>
                        <pic:blipFill>
                          <a:blip r:embed="rId69"/>
                          <a:stretch>
                            <a:fillRect/>
                          </a:stretch>
                        </pic:blipFill>
                        <pic:spPr>
                          <a:xfrm rot="16200000">
                            <a:off x="0" y="0"/>
                            <a:ext cx="1016635" cy="1355090"/>
                          </a:xfrm>
                          <a:prstGeom prst="rect">
                            <a:avLst/>
                          </a:prstGeom>
                          <a:noFill/>
                          <a:ln>
                            <a:noFill/>
                          </a:ln>
                        </pic:spPr>
                      </pic:pic>
                    </a:graphicData>
                  </a:graphic>
                </wp:anchor>
              </w:drawing>
            </w:r>
          </w:p>
        </w:tc>
        <w:tc>
          <w:tcPr>
            <w:tcW w:w="187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00</w:t>
            </w:r>
          </w:p>
        </w:tc>
      </w:tr>
    </w:tbl>
    <w:p>
      <w:pPr>
        <w:rPr>
          <w:color w:val="auto"/>
          <w:highlight w:val="none"/>
        </w:rPr>
      </w:pPr>
    </w:p>
    <w:p>
      <w:pPr>
        <w:rPr>
          <w:color w:val="auto"/>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注：以上印刷数量均为三年预估数，结算时以实际发生数量为准，单价按中标单价固定不变。合同期最长</w:t>
      </w:r>
      <w:r>
        <w:rPr>
          <w:rFonts w:hint="eastAsia" w:hAnsi="宋体"/>
          <w:color w:val="auto"/>
          <w:szCs w:val="21"/>
          <w:highlight w:val="none"/>
        </w:rPr>
        <w:t>自签订之日起至2</w:t>
      </w:r>
      <w:r>
        <w:rPr>
          <w:rFonts w:hAnsi="宋体"/>
          <w:color w:val="auto"/>
          <w:szCs w:val="21"/>
          <w:highlight w:val="none"/>
        </w:rPr>
        <w:t>026</w:t>
      </w:r>
      <w:r>
        <w:rPr>
          <w:rFonts w:hint="eastAsia" w:hAnsi="宋体"/>
          <w:color w:val="auto"/>
          <w:szCs w:val="21"/>
          <w:highlight w:val="none"/>
        </w:rPr>
        <w:t>年1</w:t>
      </w:r>
      <w:r>
        <w:rPr>
          <w:rFonts w:hAnsi="宋体"/>
          <w:color w:val="auto"/>
          <w:szCs w:val="21"/>
          <w:highlight w:val="none"/>
        </w:rPr>
        <w:t>2</w:t>
      </w:r>
      <w:r>
        <w:rPr>
          <w:rFonts w:hint="eastAsia" w:hAnsi="宋体"/>
          <w:color w:val="auto"/>
          <w:szCs w:val="21"/>
          <w:highlight w:val="none"/>
        </w:rPr>
        <w:t>月3</w:t>
      </w:r>
      <w:r>
        <w:rPr>
          <w:rFonts w:hAnsi="宋体"/>
          <w:color w:val="auto"/>
          <w:szCs w:val="21"/>
          <w:highlight w:val="none"/>
        </w:rPr>
        <w:t>1</w:t>
      </w:r>
      <w:r>
        <w:rPr>
          <w:rFonts w:hint="eastAsia" w:hAnsi="宋体"/>
          <w:color w:val="auto"/>
          <w:szCs w:val="21"/>
          <w:highlight w:val="none"/>
        </w:rPr>
        <w:t>日止</w:t>
      </w:r>
      <w:r>
        <w:rPr>
          <w:rFonts w:hint="eastAsia" w:asciiTheme="minorEastAsia" w:hAnsiTheme="minorEastAsia" w:eastAsiaTheme="minorEastAsia" w:cstheme="minorEastAsia"/>
          <w:color w:val="auto"/>
          <w:szCs w:val="21"/>
          <w:highlight w:val="none"/>
        </w:rPr>
        <w:t>，总金额不超5</w:t>
      </w:r>
      <w:r>
        <w:rPr>
          <w:rFonts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rPr>
        <w:t>万元（含税），以先到为准。</w:t>
      </w:r>
    </w:p>
    <w:p>
      <w:pPr>
        <w:spacing w:line="360" w:lineRule="auto"/>
        <w:ind w:firstLine="478" w:firstLineChars="228"/>
        <w:rPr>
          <w:rFonts w:asciiTheme="minorEastAsia" w:hAnsiTheme="minorEastAsia" w:eastAsiaTheme="minorEastAsia" w:cstheme="minorEastAsia"/>
          <w:color w:val="auto"/>
          <w:szCs w:val="21"/>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p>
    <w:p>
      <w:pPr>
        <w:spacing w:line="360" w:lineRule="auto"/>
        <w:ind w:firstLine="478" w:firstLineChars="228"/>
        <w:rPr>
          <w:rFonts w:asciiTheme="minorEastAsia" w:hAnsiTheme="minorEastAsia" w:eastAsiaTheme="minorEastAsia" w:cstheme="minorEastAsia"/>
          <w:color w:val="auto"/>
          <w:szCs w:val="21"/>
          <w:highlight w:val="none"/>
        </w:rPr>
      </w:pPr>
    </w:p>
    <w:bookmarkEnd w:id="6"/>
    <w:bookmarkEnd w:id="7"/>
    <w:bookmarkEnd w:id="8"/>
    <w:bookmarkEnd w:id="9"/>
    <w:bookmarkEnd w:id="10"/>
    <w:bookmarkEnd w:id="11"/>
    <w:bookmarkEnd w:id="12"/>
    <w:bookmarkEnd w:id="13"/>
    <w:p>
      <w:pPr>
        <w:rPr>
          <w:rFonts w:hAnsi="宋体"/>
          <w:b/>
          <w:color w:val="auto"/>
          <w:sz w:val="36"/>
          <w:szCs w:val="36"/>
          <w:highlight w:val="none"/>
        </w:rPr>
      </w:pPr>
      <w:r>
        <w:rPr>
          <w:b/>
          <w:color w:val="auto"/>
          <w:sz w:val="36"/>
          <w:szCs w:val="36"/>
          <w:highlight w:val="none"/>
        </w:rPr>
        <w:br w:type="page"/>
      </w:r>
    </w:p>
    <w:p>
      <w:pPr>
        <w:pStyle w:val="24"/>
        <w:numPr>
          <w:ilvl w:val="0"/>
          <w:numId w:val="1"/>
        </w:numPr>
        <w:spacing w:line="360" w:lineRule="auto"/>
        <w:ind w:firstLine="0" w:firstLineChars="0"/>
        <w:jc w:val="center"/>
        <w:rPr>
          <w:rFonts w:ascii="Times New Roman" w:hAnsi="宋体"/>
          <w:b/>
          <w:color w:val="auto"/>
          <w:sz w:val="36"/>
          <w:szCs w:val="36"/>
          <w:highlight w:val="none"/>
        </w:rPr>
      </w:pPr>
      <w:r>
        <w:rPr>
          <w:rFonts w:ascii="Times New Roman" w:hAnsi="Times New Roman"/>
          <w:b/>
          <w:color w:val="auto"/>
          <w:sz w:val="36"/>
          <w:szCs w:val="36"/>
          <w:highlight w:val="none"/>
        </w:rPr>
        <w:t xml:space="preserve"> </w:t>
      </w:r>
      <w:r>
        <w:rPr>
          <w:rFonts w:ascii="Times New Roman" w:hAnsi="宋体"/>
          <w:b/>
          <w:color w:val="auto"/>
          <w:sz w:val="36"/>
          <w:szCs w:val="36"/>
          <w:highlight w:val="none"/>
        </w:rPr>
        <w:t>合同主要条款</w:t>
      </w:r>
      <w:r>
        <w:rPr>
          <w:rFonts w:hint="eastAsia" w:ascii="Times New Roman" w:hAnsi="宋体"/>
          <w:b/>
          <w:color w:val="auto"/>
          <w:sz w:val="36"/>
          <w:szCs w:val="36"/>
          <w:highlight w:val="none"/>
        </w:rPr>
        <w:t>及</w:t>
      </w:r>
      <w:r>
        <w:rPr>
          <w:rFonts w:ascii="Times New Roman" w:hAnsi="宋体"/>
          <w:b/>
          <w:color w:val="auto"/>
          <w:sz w:val="36"/>
          <w:szCs w:val="36"/>
          <w:highlight w:val="none"/>
        </w:rPr>
        <w:t>格式</w:t>
      </w:r>
    </w:p>
    <w:p>
      <w:pPr>
        <w:spacing w:before="120" w:beforeLines="50" w:after="120" w:afterLines="50" w:line="300" w:lineRule="auto"/>
        <w:ind w:firstLine="560" w:firstLineChars="200"/>
        <w:jc w:val="right"/>
        <w:rPr>
          <w:bCs/>
          <w:color w:val="auto"/>
          <w:sz w:val="44"/>
          <w:szCs w:val="44"/>
          <w:highlight w:val="none"/>
        </w:rPr>
      </w:pPr>
      <w:r>
        <w:rPr>
          <w:bCs/>
          <w:color w:val="auto"/>
          <w:sz w:val="28"/>
          <w:szCs w:val="44"/>
          <w:highlight w:val="none"/>
        </w:rPr>
        <w:t>合同编号：【               】</w:t>
      </w:r>
    </w:p>
    <w:p>
      <w:pPr>
        <w:spacing w:before="120" w:beforeLines="50" w:after="120" w:afterLines="50" w:line="300" w:lineRule="auto"/>
        <w:ind w:firstLine="883" w:firstLineChars="200"/>
        <w:jc w:val="center"/>
        <w:rPr>
          <w:b/>
          <w:color w:val="auto"/>
          <w:sz w:val="44"/>
          <w:szCs w:val="44"/>
          <w:highlight w:val="none"/>
        </w:rPr>
      </w:pPr>
    </w:p>
    <w:p>
      <w:pPr>
        <w:spacing w:before="120" w:beforeLines="50" w:after="120" w:afterLines="50" w:line="300" w:lineRule="auto"/>
        <w:ind w:firstLine="883" w:firstLineChars="200"/>
        <w:jc w:val="center"/>
        <w:rPr>
          <w:b/>
          <w:color w:val="auto"/>
          <w:sz w:val="44"/>
          <w:szCs w:val="44"/>
          <w:highlight w:val="none"/>
        </w:rPr>
      </w:pPr>
    </w:p>
    <w:p>
      <w:pPr>
        <w:spacing w:before="120" w:beforeLines="50" w:after="120" w:afterLines="50" w:line="300" w:lineRule="auto"/>
        <w:ind w:firstLine="883" w:firstLineChars="200"/>
        <w:jc w:val="center"/>
        <w:rPr>
          <w:b/>
          <w:color w:val="auto"/>
          <w:sz w:val="44"/>
          <w:szCs w:val="44"/>
          <w:highlight w:val="none"/>
        </w:rPr>
      </w:pPr>
    </w:p>
    <w:p>
      <w:pPr>
        <w:spacing w:before="120" w:beforeLines="50" w:after="120" w:afterLines="50" w:line="300" w:lineRule="auto"/>
        <w:ind w:firstLine="883" w:firstLineChars="200"/>
        <w:jc w:val="center"/>
        <w:rPr>
          <w:b/>
          <w:color w:val="auto"/>
          <w:sz w:val="44"/>
          <w:szCs w:val="44"/>
          <w:highlight w:val="none"/>
        </w:rPr>
      </w:pPr>
    </w:p>
    <w:p>
      <w:pPr>
        <w:spacing w:before="120" w:beforeLines="50" w:after="120" w:afterLines="50" w:line="300" w:lineRule="auto"/>
        <w:rPr>
          <w:b/>
          <w:color w:val="auto"/>
          <w:sz w:val="44"/>
          <w:szCs w:val="44"/>
          <w:highlight w:val="none"/>
        </w:rPr>
      </w:pPr>
    </w:p>
    <w:p>
      <w:pPr>
        <w:spacing w:before="120" w:beforeLines="50" w:after="120" w:afterLines="50" w:line="300" w:lineRule="auto"/>
        <w:jc w:val="center"/>
        <w:rPr>
          <w:b/>
          <w:color w:val="auto"/>
          <w:sz w:val="48"/>
          <w:szCs w:val="48"/>
          <w:highlight w:val="none"/>
        </w:rPr>
      </w:pPr>
      <w:r>
        <w:rPr>
          <w:rFonts w:hint="eastAsia"/>
          <w:b/>
          <w:color w:val="auto"/>
          <w:sz w:val="48"/>
          <w:szCs w:val="48"/>
          <w:highlight w:val="none"/>
        </w:rPr>
        <w:t>宁波机场集团有限公司印刷品采购项目</w:t>
      </w:r>
    </w:p>
    <w:p>
      <w:pPr>
        <w:spacing w:before="120" w:beforeLines="50" w:after="120" w:afterLines="50" w:line="300" w:lineRule="auto"/>
        <w:jc w:val="center"/>
        <w:rPr>
          <w:b/>
          <w:bCs/>
          <w:color w:val="auto"/>
          <w:sz w:val="44"/>
          <w:szCs w:val="44"/>
          <w:highlight w:val="none"/>
        </w:rPr>
      </w:pPr>
      <w:r>
        <w:rPr>
          <w:b/>
          <w:bCs/>
          <w:color w:val="auto"/>
          <w:sz w:val="44"/>
          <w:szCs w:val="44"/>
          <w:highlight w:val="none"/>
        </w:rPr>
        <w:t>采购合同</w:t>
      </w:r>
    </w:p>
    <w:p>
      <w:pPr>
        <w:spacing w:before="120" w:beforeLines="50" w:after="120" w:afterLines="50" w:line="300" w:lineRule="auto"/>
        <w:ind w:firstLine="460" w:firstLineChars="200"/>
        <w:jc w:val="center"/>
        <w:rPr>
          <w:bCs/>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pStyle w:val="2"/>
        <w:ind w:firstLine="462"/>
        <w:rPr>
          <w:b/>
          <w:color w:val="auto"/>
          <w:sz w:val="23"/>
          <w:szCs w:val="23"/>
          <w:highlight w:val="none"/>
        </w:rPr>
      </w:pPr>
    </w:p>
    <w:p>
      <w:pPr>
        <w:pStyle w:val="2"/>
        <w:ind w:firstLine="462"/>
        <w:rPr>
          <w:b/>
          <w:color w:val="auto"/>
          <w:sz w:val="23"/>
          <w:szCs w:val="23"/>
          <w:highlight w:val="none"/>
        </w:rPr>
      </w:pPr>
    </w:p>
    <w:p>
      <w:pPr>
        <w:pStyle w:val="2"/>
        <w:ind w:firstLine="462"/>
        <w:rPr>
          <w:b/>
          <w:color w:val="auto"/>
          <w:sz w:val="23"/>
          <w:szCs w:val="23"/>
          <w:highlight w:val="none"/>
        </w:rPr>
      </w:pPr>
    </w:p>
    <w:p>
      <w:pPr>
        <w:pStyle w:val="2"/>
        <w:ind w:firstLine="462"/>
        <w:rPr>
          <w:b/>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spacing w:before="120" w:beforeLines="50" w:after="120" w:afterLines="50" w:line="300" w:lineRule="auto"/>
        <w:ind w:firstLine="462" w:firstLineChars="200"/>
        <w:jc w:val="center"/>
        <w:rPr>
          <w:b/>
          <w:color w:val="auto"/>
          <w:sz w:val="23"/>
          <w:szCs w:val="23"/>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spacing w:line="288" w:lineRule="auto"/>
        <w:jc w:val="center"/>
        <w:rPr>
          <w:rFonts w:cs="Songti SC Regular" w:asciiTheme="minorEastAsia" w:hAnsiTheme="minorEastAsia" w:eastAsiaTheme="minorEastAsia"/>
          <w:b/>
          <w:color w:val="auto"/>
          <w:highlight w:val="none"/>
          <w:lang w:val="zh-TW"/>
        </w:rPr>
      </w:pPr>
      <w:r>
        <w:rPr>
          <w:b/>
          <w:bCs/>
          <w:color w:val="auto"/>
          <w:sz w:val="32"/>
          <w:szCs w:val="44"/>
          <w:highlight w:val="none"/>
        </w:rPr>
        <w:t>【</w:t>
      </w:r>
      <w:r>
        <w:rPr>
          <w:rFonts w:hint="eastAsia"/>
          <w:b/>
          <w:bCs/>
          <w:color w:val="auto"/>
          <w:sz w:val="32"/>
          <w:szCs w:val="44"/>
          <w:highlight w:val="none"/>
        </w:rPr>
        <w:t>2024</w:t>
      </w:r>
      <w:r>
        <w:rPr>
          <w:b/>
          <w:bCs/>
          <w:color w:val="auto"/>
          <w:sz w:val="32"/>
          <w:szCs w:val="44"/>
          <w:highlight w:val="none"/>
        </w:rPr>
        <w:t>】年【</w:t>
      </w:r>
      <w:r>
        <w:rPr>
          <w:rFonts w:hint="eastAsia"/>
          <w:b/>
          <w:bCs/>
          <w:color w:val="auto"/>
          <w:sz w:val="32"/>
          <w:szCs w:val="44"/>
          <w:highlight w:val="none"/>
          <w:lang w:val="en-US" w:eastAsia="zh-CN"/>
        </w:rPr>
        <w:t>5</w:t>
      </w:r>
      <w:r>
        <w:rPr>
          <w:b/>
          <w:bCs/>
          <w:color w:val="auto"/>
          <w:sz w:val="32"/>
          <w:szCs w:val="44"/>
          <w:highlight w:val="none"/>
        </w:rPr>
        <w:t>】月【   】日</w:t>
      </w:r>
    </w:p>
    <w:tbl>
      <w:tblPr>
        <w:tblStyle w:val="26"/>
        <w:tblW w:w="7903"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90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47" w:hRule="atLeast"/>
        </w:trPr>
        <w:tc>
          <w:tcPr>
            <w:tcW w:w="7903" w:type="dxa"/>
            <w:tcBorders>
              <w:top w:val="nil"/>
              <w:left w:val="nil"/>
              <w:bottom w:val="nil"/>
              <w:right w:val="nil"/>
            </w:tcBorders>
            <w:shd w:val="clear" w:color="auto" w:fill="auto"/>
            <w:tcMar>
              <w:top w:w="80" w:type="dxa"/>
              <w:left w:w="80" w:type="dxa"/>
              <w:bottom w:w="80" w:type="dxa"/>
              <w:right w:w="8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asciiTheme="minorEastAsia" w:hAnsiTheme="minorEastAsia" w:eastAsia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lang w:eastAsia="zh-TW"/>
              </w:rPr>
              <w:t>甲方（需方）：</w:t>
            </w:r>
            <w:r>
              <w:rPr>
                <w:rFonts w:cs="Arial" w:asciiTheme="minorEastAsia" w:hAnsiTheme="minorEastAsia" w:eastAsiaTheme="minorEastAsia"/>
                <w:b/>
                <w:color w:val="auto"/>
                <w:kern w:val="0"/>
                <w:szCs w:val="21"/>
                <w:highlight w:val="none"/>
                <w:lang w:eastAsia="zh-TW"/>
              </w:rPr>
              <w:t xml:space="preserve">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asciiTheme="minorEastAsia" w:hAnsiTheme="minorEastAsia" w:eastAsia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lang w:eastAsia="zh-TW"/>
              </w:rPr>
              <w:t>法定代表人：</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asciiTheme="minorEastAsia" w:hAnsiTheme="minorEastAsia" w:eastAsia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lang w:eastAsia="zh-TW"/>
              </w:rPr>
              <w:t>住所地：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447" w:hRule="atLeast"/>
        </w:trPr>
        <w:tc>
          <w:tcPr>
            <w:tcW w:w="7903" w:type="dxa"/>
            <w:tcBorders>
              <w:top w:val="nil"/>
              <w:left w:val="nil"/>
              <w:bottom w:val="nil"/>
              <w:right w:val="nil"/>
            </w:tcBorders>
            <w:shd w:val="clear" w:color="auto" w:fill="auto"/>
            <w:tcMar>
              <w:top w:w="80" w:type="dxa"/>
              <w:left w:w="80" w:type="dxa"/>
              <w:bottom w:w="80" w:type="dxa"/>
              <w:right w:w="80" w:type="dxa"/>
            </w:tcMar>
          </w:tcPr>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asciiTheme="minorEastAsia" w:hAnsiTheme="minorEastAsia" w:eastAsia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lang w:eastAsia="zh-TW"/>
              </w:rPr>
              <w:t>乙方（供方）：</w:t>
            </w:r>
            <w:r>
              <w:rPr>
                <w:rFonts w:cs="Arial" w:asciiTheme="minorEastAsia" w:hAnsiTheme="minorEastAsia" w:eastAsiaTheme="minorEastAsia"/>
                <w:b/>
                <w:color w:val="auto"/>
                <w:kern w:val="0"/>
                <w:szCs w:val="21"/>
                <w:highlight w:val="none"/>
                <w:lang w:eastAsia="zh-TW"/>
              </w:rPr>
              <w:t xml:space="preserve">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asciiTheme="minorEastAsia" w:hAnsiTheme="minorEastAsia" w:eastAsia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lang w:eastAsia="zh-TW"/>
              </w:rPr>
              <w:t>法定代表人：</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PMingLiU" w:cs="Arial" w:asciiTheme="minorEastAsia" w:hAnsi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lang w:eastAsia="zh-TW"/>
              </w:rPr>
              <w:t>住所地：</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Arial" w:asciiTheme="minorEastAsia" w:hAnsiTheme="minorEastAsia" w:eastAsia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rPr>
              <w:t>合同</w:t>
            </w:r>
            <w:r>
              <w:rPr>
                <w:rFonts w:hint="eastAsia" w:cs="Arial" w:asciiTheme="minorEastAsia" w:hAnsiTheme="minorEastAsia" w:eastAsiaTheme="minorEastAsia"/>
                <w:b/>
                <w:color w:val="auto"/>
                <w:kern w:val="0"/>
                <w:szCs w:val="21"/>
                <w:highlight w:val="none"/>
                <w:lang w:eastAsia="zh-TW"/>
              </w:rPr>
              <w:t>履行地：宁波栎社国际机场</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PMingLiU" w:cs="Arial" w:asciiTheme="minorEastAsia" w:hAnsiTheme="minorEastAsia"/>
                <w:b/>
                <w:color w:val="auto"/>
                <w:kern w:val="0"/>
                <w:szCs w:val="21"/>
                <w:highlight w:val="none"/>
                <w:lang w:eastAsia="zh-TW"/>
              </w:rPr>
            </w:pPr>
            <w:r>
              <w:rPr>
                <w:rFonts w:hint="eastAsia" w:cs="Arial" w:asciiTheme="minorEastAsia" w:hAnsiTheme="minorEastAsia" w:eastAsiaTheme="minorEastAsia"/>
                <w:b/>
                <w:color w:val="auto"/>
                <w:kern w:val="0"/>
                <w:szCs w:val="21"/>
                <w:highlight w:val="none"/>
              </w:rPr>
              <w:t>合同</w:t>
            </w:r>
            <w:r>
              <w:rPr>
                <w:rFonts w:hint="eastAsia" w:cs="Arial" w:asciiTheme="minorEastAsia" w:hAnsiTheme="minorEastAsia" w:eastAsiaTheme="minorEastAsia"/>
                <w:b/>
                <w:color w:val="auto"/>
                <w:kern w:val="0"/>
                <w:szCs w:val="21"/>
                <w:highlight w:val="none"/>
                <w:lang w:eastAsia="zh-TW"/>
              </w:rPr>
              <w:t>签订地： 宁波栎社国际机场</w:t>
            </w:r>
          </w:p>
        </w:tc>
      </w:tr>
    </w:tbl>
    <w:p>
      <w:pPr>
        <w:spacing w:before="156" w:after="156" w:line="360" w:lineRule="auto"/>
        <w:ind w:firstLine="420" w:firstLineChars="200"/>
        <w:rPr>
          <w:rFonts w:asciiTheme="minorEastAsia" w:hAnsiTheme="minorEastAsia" w:eastAsiaTheme="minorEastAsia"/>
          <w:color w:val="auto"/>
          <w:szCs w:val="21"/>
          <w:highlight w:val="none"/>
          <w:lang w:val="zh-TW"/>
        </w:rPr>
      </w:pPr>
      <w:r>
        <w:rPr>
          <w:rFonts w:hint="eastAsia" w:asciiTheme="minorEastAsia" w:hAnsiTheme="minorEastAsia" w:eastAsiaTheme="minorEastAsia"/>
          <w:color w:val="auto"/>
          <w:szCs w:val="21"/>
          <w:highlight w:val="none"/>
          <w:lang w:val="zh-TW"/>
        </w:rPr>
        <w:t>为了保护双方合法权益，根据《中华人民共和国民法典》等相关法律、法规的规定，经甲、乙双方友好协商后签订本采购合同，以兹共同遵守：</w:t>
      </w:r>
    </w:p>
    <w:p>
      <w:pPr>
        <w:spacing w:before="156" w:after="156" w:line="360" w:lineRule="auto"/>
        <w:ind w:firstLine="422" w:firstLineChars="200"/>
        <w:rPr>
          <w:rFonts w:asciiTheme="minorEastAsia" w:hAnsiTheme="minorEastAsia" w:eastAsiaTheme="minorEastAsia"/>
          <w:color w:val="auto"/>
          <w:szCs w:val="21"/>
          <w:highlight w:val="none"/>
          <w:lang w:val="zh-TW"/>
        </w:rPr>
      </w:pPr>
      <w:r>
        <w:rPr>
          <w:rFonts w:hint="eastAsia" w:asciiTheme="minorEastAsia" w:hAnsiTheme="minorEastAsia" w:eastAsiaTheme="minorEastAsia"/>
          <w:b/>
          <w:color w:val="auto"/>
          <w:szCs w:val="21"/>
          <w:highlight w:val="none"/>
        </w:rPr>
        <w:t>一</w:t>
      </w:r>
      <w:r>
        <w:rPr>
          <w:rFonts w:asciiTheme="minorEastAsia" w:hAnsiTheme="minorEastAsia" w:eastAsiaTheme="minorEastAsia"/>
          <w:b/>
          <w:color w:val="auto"/>
          <w:szCs w:val="21"/>
          <w:highlight w:val="none"/>
        </w:rPr>
        <w:t>、</w:t>
      </w:r>
      <w:r>
        <w:rPr>
          <w:rFonts w:hint="eastAsia" w:asciiTheme="minorEastAsia" w:hAnsiTheme="minorEastAsia" w:eastAsiaTheme="minorEastAsia"/>
          <w:b/>
          <w:color w:val="auto"/>
          <w:szCs w:val="21"/>
          <w:highlight w:val="none"/>
          <w:lang w:val="zh-TW"/>
        </w:rPr>
        <w:t>采购产品基本信息</w:t>
      </w:r>
    </w:p>
    <w:tbl>
      <w:tblPr>
        <w:tblStyle w:val="26"/>
        <w:tblW w:w="11057" w:type="dxa"/>
        <w:tblInd w:w="-114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67"/>
        <w:gridCol w:w="851"/>
        <w:gridCol w:w="709"/>
        <w:gridCol w:w="850"/>
        <w:gridCol w:w="992"/>
        <w:gridCol w:w="1985"/>
        <w:gridCol w:w="850"/>
        <w:gridCol w:w="1418"/>
        <w:gridCol w:w="709"/>
        <w:gridCol w:w="992"/>
        <w:gridCol w:w="113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781" w:hRule="atLeast"/>
        </w:trPr>
        <w:tc>
          <w:tcPr>
            <w:tcW w:w="567" w:type="dxa"/>
            <w:tcBorders>
              <w:top w:val="single" w:color="000000" w:sz="12"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eastAsia="zh-TW"/>
              </w:rPr>
              <w:t>序号</w:t>
            </w:r>
          </w:p>
        </w:tc>
        <w:tc>
          <w:tcPr>
            <w:tcW w:w="851" w:type="dxa"/>
            <w:tcBorders>
              <w:top w:val="single" w:color="000000" w:sz="12" w:space="0"/>
              <w:left w:val="single" w:color="000000" w:sz="4" w:space="0"/>
              <w:bottom w:val="single" w:color="000000" w:sz="4" w:space="0"/>
              <w:right w:val="single" w:color="000000" w:sz="4" w:space="0"/>
            </w:tcBorders>
            <w:shd w:val="clear" w:color="auto" w:fill="CED7E7"/>
          </w:tcPr>
          <w:p>
            <w:pPr>
              <w:spacing w:line="440" w:lineRule="exact"/>
              <w:ind w:firstLine="210" w:firstLineChars="100"/>
              <w:rPr>
                <w:rFonts w:asciiTheme="minorEastAsia" w:hAnsiTheme="minorEastAsia" w:eastAsiaTheme="minorEastAsia"/>
                <w:color w:val="auto"/>
                <w:kern w:val="0"/>
                <w:szCs w:val="21"/>
                <w:highlight w:val="none"/>
                <w:lang w:val="zh-TW"/>
              </w:rPr>
            </w:pPr>
          </w:p>
          <w:p>
            <w:pPr>
              <w:spacing w:line="440" w:lineRule="exact"/>
              <w:ind w:firstLine="210" w:firstLineChars="100"/>
              <w:rPr>
                <w:rFonts w:asciiTheme="minorEastAsia" w:hAnsiTheme="minorEastAsia" w:eastAsiaTheme="minorEastAsia"/>
                <w:color w:val="auto"/>
                <w:kern w:val="0"/>
                <w:szCs w:val="21"/>
                <w:highlight w:val="none"/>
                <w:lang w:val="zh-TW"/>
              </w:rPr>
            </w:pPr>
            <w:r>
              <w:rPr>
                <w:rFonts w:hint="eastAsia" w:asciiTheme="minorEastAsia" w:hAnsiTheme="minorEastAsia" w:eastAsiaTheme="minorEastAsia"/>
                <w:color w:val="auto"/>
                <w:kern w:val="0"/>
                <w:szCs w:val="21"/>
                <w:highlight w:val="none"/>
                <w:lang w:val="zh-TW"/>
              </w:rPr>
              <w:t>品名</w:t>
            </w:r>
          </w:p>
        </w:tc>
        <w:tc>
          <w:tcPr>
            <w:tcW w:w="709"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eastAsia="zh-TW"/>
              </w:rPr>
              <w:t>品牌</w:t>
            </w:r>
          </w:p>
        </w:tc>
        <w:tc>
          <w:tcPr>
            <w:tcW w:w="850"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rPr>
              <w:t>规格</w:t>
            </w:r>
            <w:r>
              <w:rPr>
                <w:rFonts w:hint="eastAsia" w:asciiTheme="minorEastAsia" w:hAnsiTheme="minorEastAsia" w:eastAsiaTheme="minorEastAsia"/>
                <w:color w:val="auto"/>
                <w:kern w:val="0"/>
                <w:szCs w:val="21"/>
                <w:highlight w:val="none"/>
                <w:lang w:val="zh-TW" w:eastAsia="zh-TW"/>
              </w:rPr>
              <w:t>型号</w:t>
            </w:r>
          </w:p>
        </w:tc>
        <w:tc>
          <w:tcPr>
            <w:tcW w:w="992"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firstLine="210" w:firstLineChars="10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eastAsia="zh-TW"/>
              </w:rPr>
              <w:t>产地</w:t>
            </w:r>
          </w:p>
        </w:tc>
        <w:tc>
          <w:tcPr>
            <w:tcW w:w="1985"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lang w:val="zh-TW"/>
              </w:rPr>
            </w:pPr>
            <w:r>
              <w:rPr>
                <w:rFonts w:hint="eastAsia" w:asciiTheme="minorEastAsia" w:hAnsiTheme="minorEastAsia" w:eastAsiaTheme="minorEastAsia"/>
                <w:color w:val="auto"/>
                <w:kern w:val="0"/>
                <w:szCs w:val="21"/>
                <w:highlight w:val="none"/>
                <w:lang w:val="zh-TW"/>
              </w:rPr>
              <w:t>主要配置</w:t>
            </w:r>
          </w:p>
          <w:p>
            <w:pPr>
              <w:spacing w:line="440" w:lineRule="exact"/>
              <w:ind w:left="105" w:leftChars="50"/>
              <w:jc w:val="center"/>
              <w:rPr>
                <w:rFonts w:asciiTheme="minorEastAsia" w:hAnsiTheme="minorEastAsia" w:eastAsiaTheme="minorEastAsia"/>
                <w:color w:val="auto"/>
                <w:kern w:val="0"/>
                <w:szCs w:val="21"/>
                <w:highlight w:val="none"/>
              </w:rPr>
            </w:pPr>
          </w:p>
        </w:tc>
        <w:tc>
          <w:tcPr>
            <w:tcW w:w="850"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rPr>
              <w:t>预估</w:t>
            </w:r>
            <w:r>
              <w:rPr>
                <w:rFonts w:hint="eastAsia" w:asciiTheme="minorEastAsia" w:hAnsiTheme="minorEastAsia" w:eastAsiaTheme="minorEastAsia"/>
                <w:color w:val="auto"/>
                <w:kern w:val="0"/>
                <w:szCs w:val="21"/>
                <w:highlight w:val="none"/>
                <w:lang w:val="zh-TW" w:eastAsia="zh-TW"/>
              </w:rPr>
              <w:t>数量</w:t>
            </w:r>
          </w:p>
        </w:tc>
        <w:tc>
          <w:tcPr>
            <w:tcW w:w="1418"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lang w:val="zh-TW" w:eastAsia="zh-TW"/>
              </w:rPr>
            </w:pPr>
            <w:r>
              <w:rPr>
                <w:rFonts w:hint="eastAsia" w:asciiTheme="minorEastAsia" w:hAnsiTheme="minorEastAsia" w:eastAsiaTheme="minorEastAsia"/>
                <w:color w:val="auto"/>
                <w:kern w:val="0"/>
                <w:szCs w:val="21"/>
                <w:highlight w:val="none"/>
                <w:lang w:val="zh-TW" w:eastAsia="zh-TW"/>
              </w:rPr>
              <w:t>单价</w:t>
            </w:r>
          </w:p>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rPr>
              <w:t>（不含税）</w:t>
            </w:r>
          </w:p>
        </w:tc>
        <w:tc>
          <w:tcPr>
            <w:tcW w:w="709" w:type="dxa"/>
            <w:tcBorders>
              <w:top w:val="single" w:color="000000" w:sz="12"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税率</w:t>
            </w:r>
          </w:p>
        </w:tc>
        <w:tc>
          <w:tcPr>
            <w:tcW w:w="992" w:type="dxa"/>
            <w:tcBorders>
              <w:top w:val="single" w:color="000000" w:sz="12"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单价</w:t>
            </w:r>
          </w:p>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（含税）</w:t>
            </w:r>
          </w:p>
        </w:tc>
        <w:tc>
          <w:tcPr>
            <w:tcW w:w="1134" w:type="dxa"/>
            <w:tcBorders>
              <w:top w:val="single" w:color="000000" w:sz="12"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rPr>
              <w:t>预估</w:t>
            </w:r>
            <w:r>
              <w:rPr>
                <w:rFonts w:hint="eastAsia" w:asciiTheme="minorEastAsia" w:hAnsiTheme="minorEastAsia" w:eastAsiaTheme="minorEastAsia"/>
                <w:color w:val="auto"/>
                <w:kern w:val="0"/>
                <w:szCs w:val="21"/>
                <w:highlight w:val="none"/>
                <w:lang w:val="zh-TW" w:eastAsia="zh-TW"/>
              </w:rPr>
              <w:t>小计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0" w:hRule="atLeast"/>
        </w:trPr>
        <w:tc>
          <w:tcPr>
            <w:tcW w:w="567" w:type="dxa"/>
            <w:tcBorders>
              <w:top w:val="single" w:color="000000" w:sz="4"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1</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Pr>
          <w:p>
            <w:pPr>
              <w:spacing w:line="440" w:lineRule="exact"/>
              <w:ind w:left="105" w:leftChars="50"/>
              <w:rPr>
                <w:rFonts w:asciiTheme="minorEastAsia" w:hAnsiTheme="minorEastAsia" w:eastAsiaTheme="minorEastAsia"/>
                <w:color w:val="auto"/>
                <w:kern w:val="0"/>
                <w:szCs w:val="21"/>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1134"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0" w:hRule="atLeast"/>
        </w:trPr>
        <w:tc>
          <w:tcPr>
            <w:tcW w:w="567" w:type="dxa"/>
            <w:tcBorders>
              <w:top w:val="single" w:color="000000" w:sz="4"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2</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Pr>
          <w:p>
            <w:pPr>
              <w:spacing w:line="440" w:lineRule="exact"/>
              <w:ind w:left="105" w:leftChars="50"/>
              <w:rPr>
                <w:rFonts w:asciiTheme="minorEastAsia" w:hAnsiTheme="minorEastAsia" w:eastAsiaTheme="minorEastAsia"/>
                <w:color w:val="auto"/>
                <w:kern w:val="0"/>
                <w:szCs w:val="21"/>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1134"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80" w:hRule="atLeast"/>
        </w:trPr>
        <w:tc>
          <w:tcPr>
            <w:tcW w:w="567" w:type="dxa"/>
            <w:tcBorders>
              <w:top w:val="single" w:color="000000" w:sz="4"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jc w:val="center"/>
              <w:rPr>
                <w:rFonts w:asciiTheme="minorEastAsia" w:hAnsiTheme="minorEastAsia" w:eastAsiaTheme="minorEastAsia"/>
                <w:color w:val="auto"/>
                <w:kern w:val="0"/>
                <w:szCs w:val="21"/>
                <w:highlight w:val="none"/>
              </w:rPr>
            </w:pPr>
            <w:r>
              <w:rPr>
                <w:rFonts w:asciiTheme="minorEastAsia" w:hAnsiTheme="minorEastAsia" w:eastAsiaTheme="minorEastAsia"/>
                <w:color w:val="auto"/>
                <w:kern w:val="0"/>
                <w:szCs w:val="21"/>
                <w:highlight w:val="none"/>
              </w:rPr>
              <w:t>3</w:t>
            </w:r>
          </w:p>
        </w:tc>
        <w:tc>
          <w:tcPr>
            <w:tcW w:w="851" w:type="dxa"/>
            <w:tcBorders>
              <w:top w:val="single" w:color="000000" w:sz="4" w:space="0"/>
              <w:left w:val="single" w:color="000000" w:sz="4" w:space="0"/>
              <w:bottom w:val="single" w:color="000000" w:sz="4" w:space="0"/>
              <w:right w:val="single" w:color="000000" w:sz="4" w:space="0"/>
            </w:tcBorders>
            <w:shd w:val="clear" w:color="auto" w:fill="CED7E7"/>
          </w:tcPr>
          <w:p>
            <w:pPr>
              <w:spacing w:line="440" w:lineRule="exact"/>
              <w:ind w:left="105" w:leftChars="50"/>
              <w:rPr>
                <w:rFonts w:asciiTheme="minorEastAsia" w:hAnsiTheme="minorEastAsia" w:eastAsiaTheme="minorEastAsia"/>
                <w:color w:val="auto"/>
                <w:kern w:val="0"/>
                <w:szCs w:val="21"/>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left="105" w:leftChars="50"/>
              <w:rPr>
                <w:rFonts w:asciiTheme="minorEastAsia" w:hAnsiTheme="minorEastAsia" w:eastAsiaTheme="minorEastAsia"/>
                <w:color w:val="auto"/>
                <w:kern w:val="0"/>
                <w:szCs w:val="21"/>
                <w:highlight w:val="none"/>
              </w:rPr>
            </w:pPr>
          </w:p>
        </w:tc>
        <w:tc>
          <w:tcPr>
            <w:tcW w:w="1134"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80" w:hRule="atLeast"/>
        </w:trPr>
        <w:tc>
          <w:tcPr>
            <w:tcW w:w="2977" w:type="dxa"/>
            <w:gridSpan w:val="4"/>
            <w:tcBorders>
              <w:top w:val="single" w:color="000000" w:sz="4" w:space="0"/>
              <w:left w:val="single" w:color="000000" w:sz="12" w:space="0"/>
              <w:bottom w:val="single" w:color="000000" w:sz="4" w:space="0"/>
              <w:right w:val="single" w:color="000000" w:sz="4" w:space="0"/>
            </w:tcBorders>
            <w:shd w:val="clear" w:color="auto" w:fill="CED7E7"/>
          </w:tcPr>
          <w:p>
            <w:pPr>
              <w:spacing w:line="440" w:lineRule="exact"/>
              <w:ind w:left="105" w:leftChars="50"/>
              <w:jc w:val="center"/>
              <w:rPr>
                <w:rFonts w:asciiTheme="minorEastAsia" w:hAnsiTheme="minorEastAsia" w:eastAsiaTheme="minorEastAsia"/>
                <w:color w:val="auto"/>
                <w:kern w:val="0"/>
                <w:szCs w:val="21"/>
                <w:highlight w:val="none"/>
                <w:lang w:val="zh-TW" w:eastAsia="zh-TW"/>
              </w:rPr>
            </w:pPr>
            <w:r>
              <w:rPr>
                <w:rFonts w:hint="eastAsia" w:asciiTheme="minorEastAsia" w:hAnsiTheme="minorEastAsia" w:eastAsiaTheme="minorEastAsia"/>
                <w:color w:val="auto"/>
                <w:kern w:val="0"/>
                <w:szCs w:val="21"/>
                <w:highlight w:val="none"/>
                <w:lang w:val="zh-TW"/>
              </w:rPr>
              <w:t>预估</w:t>
            </w:r>
            <w:r>
              <w:rPr>
                <w:rFonts w:hint="eastAsia" w:asciiTheme="minorEastAsia" w:hAnsiTheme="minorEastAsia" w:eastAsiaTheme="minorEastAsia"/>
                <w:color w:val="auto"/>
                <w:kern w:val="0"/>
                <w:szCs w:val="21"/>
                <w:highlight w:val="none"/>
                <w:lang w:val="zh-TW" w:eastAsia="zh-TW"/>
              </w:rPr>
              <w:t>总价（</w:t>
            </w:r>
            <w:r>
              <w:rPr>
                <w:rFonts w:hint="eastAsia" w:asciiTheme="minorEastAsia" w:hAnsiTheme="minorEastAsia" w:eastAsiaTheme="minorEastAsia"/>
                <w:color w:val="auto"/>
                <w:kern w:val="0"/>
                <w:szCs w:val="21"/>
                <w:highlight w:val="none"/>
                <w:lang w:val="zh-TW"/>
              </w:rPr>
              <w:t>不</w:t>
            </w:r>
            <w:r>
              <w:rPr>
                <w:rFonts w:hint="eastAsia" w:asciiTheme="minorEastAsia" w:hAnsiTheme="minorEastAsia" w:eastAsiaTheme="minorEastAsia"/>
                <w:color w:val="auto"/>
                <w:kern w:val="0"/>
                <w:szCs w:val="21"/>
                <w:highlight w:val="none"/>
                <w:lang w:val="zh-TW" w:eastAsia="zh-TW"/>
              </w:rPr>
              <w:t>含税）</w:t>
            </w:r>
          </w:p>
        </w:tc>
        <w:tc>
          <w:tcPr>
            <w:tcW w:w="8080" w:type="dxa"/>
            <w:gridSpan w:val="7"/>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w:t>
            </w:r>
            <w:r>
              <w:rPr>
                <w:rFonts w:asciiTheme="minorEastAsia" w:hAnsiTheme="minorEastAsia" w:eastAsiaTheme="minorEastAsia"/>
                <w:color w:val="auto"/>
                <w:kern w:val="0"/>
                <w:szCs w:val="21"/>
                <w:highlight w:val="none"/>
              </w:rPr>
              <w:t xml:space="preserve"> 】</w:t>
            </w:r>
            <w:r>
              <w:rPr>
                <w:rFonts w:hint="eastAsia" w:asciiTheme="minorEastAsia" w:hAnsiTheme="minorEastAsia" w:eastAsiaTheme="minorEastAsia"/>
                <w:color w:val="auto"/>
                <w:kern w:val="0"/>
                <w:szCs w:val="21"/>
                <w:highlight w:val="none"/>
              </w:rPr>
              <w:t>元（大写：人民币【</w:t>
            </w:r>
            <w:r>
              <w:rPr>
                <w:rFonts w:asciiTheme="minorEastAsia" w:hAnsiTheme="minorEastAsia" w:eastAsiaTheme="minorEastAsia"/>
                <w:color w:val="auto"/>
                <w:kern w:val="0"/>
                <w:szCs w:val="21"/>
                <w:highlight w:val="none"/>
              </w:rPr>
              <w:t xml:space="preserve"> 】</w:t>
            </w:r>
            <w:r>
              <w:rPr>
                <w:rFonts w:hint="eastAsia" w:asciiTheme="minorEastAsia" w:hAnsiTheme="minorEastAsia" w:eastAsiaTheme="minorEastAsia"/>
                <w:color w:val="auto"/>
                <w:kern w:val="0"/>
                <w:szCs w:val="21"/>
                <w:highlight w:val="none"/>
              </w:rPr>
              <w:t>元），税金【</w:t>
            </w:r>
            <w:r>
              <w:rPr>
                <w:rFonts w:asciiTheme="minorEastAsia" w:hAnsiTheme="minorEastAsia" w:eastAsiaTheme="minorEastAsia"/>
                <w:color w:val="auto"/>
                <w:kern w:val="0"/>
                <w:szCs w:val="21"/>
                <w:highlight w:val="none"/>
              </w:rPr>
              <w:t xml:space="preserve"> 】</w:t>
            </w:r>
            <w:r>
              <w:rPr>
                <w:rFonts w:hint="eastAsia" w:asciiTheme="minorEastAsia" w:hAnsiTheme="minorEastAsia" w:eastAsiaTheme="minorEastAsia"/>
                <w:color w:val="auto"/>
                <w:kern w:val="0"/>
                <w:szCs w:val="21"/>
                <w:highlight w:val="none"/>
              </w:rPr>
              <w:t>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80" w:hRule="atLeast"/>
        </w:trPr>
        <w:tc>
          <w:tcPr>
            <w:tcW w:w="2977" w:type="dxa"/>
            <w:gridSpan w:val="4"/>
            <w:tcBorders>
              <w:top w:val="single" w:color="000000" w:sz="4" w:space="0"/>
              <w:left w:val="single" w:color="000000" w:sz="12" w:space="0"/>
              <w:bottom w:val="single" w:color="000000" w:sz="4" w:space="0"/>
              <w:right w:val="single" w:color="000000" w:sz="4" w:space="0"/>
            </w:tcBorders>
            <w:shd w:val="clear" w:color="auto" w:fill="CED7E7"/>
          </w:tcPr>
          <w:p>
            <w:pPr>
              <w:spacing w:line="440" w:lineRule="exact"/>
              <w:ind w:left="105" w:leftChars="50"/>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lang w:val="zh-TW"/>
              </w:rPr>
              <w:t>预估</w:t>
            </w:r>
            <w:r>
              <w:rPr>
                <w:rFonts w:hint="eastAsia" w:asciiTheme="minorEastAsia" w:hAnsiTheme="minorEastAsia" w:eastAsiaTheme="minorEastAsia"/>
                <w:color w:val="auto"/>
                <w:kern w:val="0"/>
                <w:szCs w:val="21"/>
                <w:highlight w:val="none"/>
                <w:lang w:val="zh-TW" w:eastAsia="zh-TW"/>
              </w:rPr>
              <w:t>总价（含税）</w:t>
            </w:r>
          </w:p>
        </w:tc>
        <w:tc>
          <w:tcPr>
            <w:tcW w:w="8080" w:type="dxa"/>
            <w:gridSpan w:val="7"/>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tcPr>
          <w:p>
            <w:pPr>
              <w:spacing w:line="440" w:lineRule="exact"/>
              <w:ind w:left="105" w:leftChars="50"/>
              <w:rPr>
                <w:rFonts w:asciiTheme="minorEastAsia" w:hAnsiTheme="minorEastAsia" w:eastAsiaTheme="minorEastAsia"/>
                <w:color w:val="auto"/>
                <w:kern w:val="0"/>
                <w:szCs w:val="21"/>
                <w:highlight w:val="none"/>
                <w:lang w:val="zh-TW"/>
              </w:rPr>
            </w:pPr>
            <w:r>
              <w:rPr>
                <w:rFonts w:hint="eastAsia" w:asciiTheme="minorEastAsia" w:hAnsiTheme="minorEastAsia" w:eastAsiaTheme="minorEastAsia"/>
                <w:color w:val="auto"/>
                <w:kern w:val="0"/>
                <w:szCs w:val="21"/>
                <w:highlight w:val="none"/>
                <w:lang w:val="zh-TW"/>
              </w:rPr>
              <w:t>【</w:t>
            </w:r>
            <w:r>
              <w:rPr>
                <w:rFonts w:asciiTheme="minorEastAsia" w:hAnsiTheme="minorEastAsia" w:eastAsiaTheme="minorEastAsia"/>
                <w:color w:val="auto"/>
                <w:kern w:val="0"/>
                <w:szCs w:val="21"/>
                <w:highlight w:val="none"/>
                <w:lang w:val="zh-TW"/>
              </w:rPr>
              <w:t xml:space="preserve"> 】</w:t>
            </w:r>
            <w:r>
              <w:rPr>
                <w:rFonts w:hint="eastAsia" w:asciiTheme="minorEastAsia" w:hAnsiTheme="minorEastAsia" w:eastAsiaTheme="minorEastAsia"/>
                <w:color w:val="auto"/>
                <w:kern w:val="0"/>
                <w:szCs w:val="21"/>
                <w:highlight w:val="none"/>
                <w:lang w:val="zh-TW"/>
              </w:rPr>
              <w:t>元（大写：人民币【</w:t>
            </w:r>
            <w:r>
              <w:rPr>
                <w:rFonts w:asciiTheme="minorEastAsia" w:hAnsiTheme="minorEastAsia" w:eastAsiaTheme="minorEastAsia"/>
                <w:color w:val="auto"/>
                <w:kern w:val="0"/>
                <w:szCs w:val="21"/>
                <w:highlight w:val="none"/>
                <w:lang w:val="zh-TW"/>
              </w:rPr>
              <w:t xml:space="preserve"> 】</w:t>
            </w:r>
            <w:r>
              <w:rPr>
                <w:rFonts w:hint="eastAsia" w:asciiTheme="minorEastAsia" w:hAnsiTheme="minorEastAsia" w:eastAsiaTheme="minorEastAsia"/>
                <w:color w:val="auto"/>
                <w:kern w:val="0"/>
                <w:szCs w:val="21"/>
                <w:highlight w:val="none"/>
                <w:lang w:val="zh-TW"/>
              </w:rPr>
              <w:t>元）</w:t>
            </w:r>
          </w:p>
        </w:tc>
      </w:tr>
    </w:tbl>
    <w:p>
      <w:pPr>
        <w:spacing w:before="100" w:after="100"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1.1本合同为固定单价合同。</w:t>
      </w:r>
      <w:r>
        <w:rPr>
          <w:rFonts w:hint="eastAsia" w:asciiTheme="minorEastAsia" w:hAnsiTheme="minorEastAsia" w:eastAsiaTheme="minorEastAsia" w:cstheme="minorEastAsia"/>
          <w:color w:val="auto"/>
          <w:szCs w:val="21"/>
          <w:highlight w:val="none"/>
        </w:rPr>
        <w:t>本合同不含税单价为甲方指定地点内不含税交货价，含货物价格、运输费、包装费、保险费、装卸费、搬运费、安装调试费、备品备件、工具以及其他伴随服务费等所有费用，甲方不再承担其他任何费用。同时乙方承诺，在合同有效期内，不以原材料上涨等任何原因主张调整不含税单价，实际结算不含税单价在合同有效期限内不高于中标不含税单价。</w:t>
      </w:r>
      <w:r>
        <w:rPr>
          <w:rFonts w:hint="eastAsia" w:asciiTheme="minorEastAsia" w:hAnsiTheme="minorEastAsia" w:eastAsiaTheme="minorEastAsia" w:cstheme="minorEastAsia"/>
          <w:color w:val="auto"/>
          <w:szCs w:val="21"/>
          <w:highlight w:val="none"/>
          <w:lang w:val="zh-TW"/>
        </w:rPr>
        <w:t>若因国家税收政策调整而引起的增值税税率变化的，应按照国家税收政策调整，合同含税单价变更为原合同不含单价与调整后税率计算税额的金额。</w:t>
      </w:r>
    </w:p>
    <w:p>
      <w:pPr>
        <w:spacing w:before="100" w:after="100"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1.2</w:t>
      </w:r>
      <w:r>
        <w:rPr>
          <w:rFonts w:hint="eastAsia" w:asciiTheme="minorEastAsia" w:hAnsiTheme="minorEastAsia" w:eastAsiaTheme="minorEastAsia" w:cstheme="minorEastAsia"/>
          <w:color w:val="auto"/>
          <w:szCs w:val="21"/>
          <w:highlight w:val="none"/>
        </w:rPr>
        <w:t>本合同采购的货物数量为预估数量，甲方有权根据实际情况单方面予以调整采购数量，具体由甲方根据采购需求分批次下达订单，乙方承诺无条件按照甲方订单分批次配送，双方最终结算金额按照甲方实际采购数量结算。</w:t>
      </w:r>
    </w:p>
    <w:p>
      <w:pPr>
        <w:spacing w:before="100" w:after="100"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1.3</w:t>
      </w:r>
      <w:r>
        <w:rPr>
          <w:rFonts w:hint="eastAsia" w:asciiTheme="minorEastAsia" w:hAnsiTheme="minorEastAsia" w:eastAsiaTheme="minorEastAsia" w:cstheme="minorEastAsia"/>
          <w:color w:val="auto"/>
          <w:szCs w:val="21"/>
          <w:highlight w:val="none"/>
        </w:rPr>
        <w:t>本合同采购货物均为通用产品而非乙方为甲方专门定制的产品。</w:t>
      </w:r>
    </w:p>
    <w:p>
      <w:pPr>
        <w:adjustRightInd w:val="0"/>
        <w:snapToGrid w:val="0"/>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二、合同服务期限</w:t>
      </w:r>
    </w:p>
    <w:p>
      <w:pPr>
        <w:adjustRightInd w:val="0"/>
        <w:snapToGrid w:val="0"/>
        <w:spacing w:after="240" w:afterLines="100"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服务期限：</w:t>
      </w:r>
      <w:r>
        <w:rPr>
          <w:rFonts w:hint="eastAsia" w:hAnsi="宋体"/>
          <w:color w:val="auto"/>
          <w:szCs w:val="21"/>
          <w:highlight w:val="none"/>
          <w:u w:val="single"/>
        </w:rPr>
        <w:t>自签订之日起至2</w:t>
      </w:r>
      <w:r>
        <w:rPr>
          <w:rFonts w:hAnsi="宋体"/>
          <w:color w:val="auto"/>
          <w:szCs w:val="21"/>
          <w:highlight w:val="none"/>
          <w:u w:val="single"/>
        </w:rPr>
        <w:t>026</w:t>
      </w:r>
      <w:r>
        <w:rPr>
          <w:rFonts w:hint="eastAsia" w:hAnsi="宋体"/>
          <w:color w:val="auto"/>
          <w:szCs w:val="21"/>
          <w:highlight w:val="none"/>
          <w:u w:val="single"/>
        </w:rPr>
        <w:t>年1</w:t>
      </w:r>
      <w:r>
        <w:rPr>
          <w:rFonts w:hAnsi="宋体"/>
          <w:color w:val="auto"/>
          <w:szCs w:val="21"/>
          <w:highlight w:val="none"/>
          <w:u w:val="single"/>
        </w:rPr>
        <w:t>2</w:t>
      </w:r>
      <w:r>
        <w:rPr>
          <w:rFonts w:hint="eastAsia" w:hAnsi="宋体"/>
          <w:color w:val="auto"/>
          <w:szCs w:val="21"/>
          <w:highlight w:val="none"/>
          <w:u w:val="single"/>
        </w:rPr>
        <w:t>月3</w:t>
      </w:r>
      <w:r>
        <w:rPr>
          <w:rFonts w:hAnsi="宋体"/>
          <w:color w:val="auto"/>
          <w:szCs w:val="21"/>
          <w:highlight w:val="none"/>
          <w:u w:val="single"/>
        </w:rPr>
        <w:t>1</w:t>
      </w:r>
      <w:r>
        <w:rPr>
          <w:rFonts w:hint="eastAsia" w:hAnsi="宋体"/>
          <w:color w:val="auto"/>
          <w:szCs w:val="21"/>
          <w:highlight w:val="none"/>
          <w:u w:val="single"/>
        </w:rPr>
        <w:t>日止</w:t>
      </w:r>
      <w:r>
        <w:rPr>
          <w:rFonts w:hint="eastAsia" w:asciiTheme="minorEastAsia" w:hAnsiTheme="minorEastAsia" w:eastAsiaTheme="minorEastAsia" w:cstheme="minorEastAsia"/>
          <w:color w:val="auto"/>
          <w:szCs w:val="21"/>
          <w:highlight w:val="none"/>
        </w:rPr>
        <w:t>，按每批次订单要求交付。</w:t>
      </w:r>
    </w:p>
    <w:p>
      <w:pPr>
        <w:adjustRightInd w:val="0"/>
        <w:snapToGrid w:val="0"/>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三、履约保证金</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3.1</w:t>
      </w:r>
      <w:r>
        <w:rPr>
          <w:rFonts w:hint="eastAsia" w:asciiTheme="minorEastAsia" w:hAnsiTheme="minorEastAsia" w:eastAsiaTheme="minorEastAsia" w:cstheme="minorEastAsia"/>
          <w:color w:val="auto"/>
          <w:szCs w:val="21"/>
          <w:highlight w:val="none"/>
        </w:rPr>
        <w:t>甲、乙双方约定，在本合同签署之日后【 】个工作日内，乙方应一次性向甲方支付履约保证金（合同预估总价5%）【 】元(大写：人民币【 】元)。甲方在收到上述保证金后即应向乙方开具收款凭证。甲方下达订单以已收到履约保证金为前提条件。</w:t>
      </w:r>
      <w:r>
        <w:rPr>
          <w:rFonts w:hint="eastAsia" w:asciiTheme="minorEastAsia" w:hAnsiTheme="minorEastAsia" w:eastAsiaTheme="minorEastAsia" w:cstheme="minorEastAsia"/>
          <w:color w:val="auto"/>
          <w:szCs w:val="21"/>
          <w:highlight w:val="none"/>
          <w:lang w:val="zh-TW"/>
        </w:rPr>
        <w:t>如乙方未能按期全额缴清该履约保证金，则构成违约，乙方应向甲方支付履约保证金的</w:t>
      </w:r>
      <w:r>
        <w:rPr>
          <w:rFonts w:hint="eastAsia" w:asciiTheme="minorEastAsia" w:hAnsiTheme="minorEastAsia" w:eastAsiaTheme="minorEastAsia" w:cstheme="minorEastAsia"/>
          <w:b/>
          <w:color w:val="auto"/>
          <w:szCs w:val="21"/>
          <w:highlight w:val="none"/>
          <w:lang w:val="zh-TW"/>
        </w:rPr>
        <w:t>50%</w:t>
      </w:r>
      <w:r>
        <w:rPr>
          <w:rFonts w:hint="eastAsia" w:asciiTheme="minorEastAsia" w:hAnsiTheme="minorEastAsia" w:eastAsiaTheme="minorEastAsia" w:cstheme="minorEastAsia"/>
          <w:color w:val="auto"/>
          <w:szCs w:val="21"/>
          <w:highlight w:val="none"/>
          <w:lang w:val="zh-TW"/>
        </w:rPr>
        <w:t>作为违约金。经甲方书面形式催告，乙方仍未支付的，甲方有权解除合同，并有权要求乙方支付合同总价【</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lang w:val="zh-TW"/>
        </w:rPr>
        <w:t>】</w:t>
      </w:r>
      <w:r>
        <w:rPr>
          <w:rFonts w:hint="eastAsia" w:asciiTheme="minorEastAsia" w:hAnsiTheme="minorEastAsia" w:eastAsiaTheme="minorEastAsia" w:cstheme="minorEastAsia"/>
          <w:b/>
          <w:color w:val="auto"/>
          <w:szCs w:val="21"/>
          <w:highlight w:val="none"/>
          <w:lang w:val="zh-TW"/>
        </w:rPr>
        <w:t>%</w:t>
      </w:r>
      <w:r>
        <w:rPr>
          <w:rFonts w:hint="eastAsia" w:asciiTheme="minorEastAsia" w:hAnsiTheme="minorEastAsia" w:eastAsiaTheme="minorEastAsia" w:cstheme="minorEastAsia"/>
          <w:color w:val="auto"/>
          <w:szCs w:val="21"/>
          <w:highlight w:val="none"/>
          <w:lang w:val="zh-TW"/>
        </w:rPr>
        <w:t>的违约金。</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3.2</w:t>
      </w:r>
      <w:r>
        <w:rPr>
          <w:rFonts w:hint="eastAsia" w:asciiTheme="minorEastAsia" w:hAnsiTheme="minorEastAsia" w:eastAsiaTheme="minorEastAsia" w:cstheme="minorEastAsia"/>
          <w:color w:val="auto"/>
          <w:szCs w:val="21"/>
          <w:highlight w:val="none"/>
          <w:lang w:val="zh-TW"/>
        </w:rPr>
        <w:t>履约保证金在主要权利义务履行完毕且乙方无任何违约行为的情况下（不含质保期义务的履行），甲方收到乙方开具的收据后</w:t>
      </w:r>
      <w:r>
        <w:rPr>
          <w:rFonts w:hint="eastAsia" w:asciiTheme="minorEastAsia" w:hAnsiTheme="minorEastAsia" w:eastAsiaTheme="minorEastAsia" w:cstheme="minorEastAsia"/>
          <w:color w:val="auto"/>
          <w:szCs w:val="21"/>
          <w:highlight w:val="none"/>
        </w:rPr>
        <w:t>【 】</w:t>
      </w:r>
      <w:r>
        <w:rPr>
          <w:rFonts w:hint="eastAsia" w:asciiTheme="minorEastAsia" w:hAnsiTheme="minorEastAsia" w:eastAsiaTheme="minorEastAsia" w:cstheme="minorEastAsia"/>
          <w:color w:val="auto"/>
          <w:szCs w:val="21"/>
          <w:highlight w:val="none"/>
          <w:lang w:val="zh-CN"/>
        </w:rPr>
        <w:t>个</w:t>
      </w:r>
      <w:r>
        <w:rPr>
          <w:rFonts w:hint="eastAsia" w:asciiTheme="minorEastAsia" w:hAnsiTheme="minorEastAsia" w:eastAsiaTheme="minorEastAsia" w:cstheme="minorEastAsia"/>
          <w:color w:val="auto"/>
          <w:szCs w:val="21"/>
          <w:highlight w:val="none"/>
          <w:lang w:val="zh-TW"/>
        </w:rPr>
        <w:t>工作日内将履约保证金无息退还。乙方若有违约情形的甲方有权要求乙方按约支付相应的违约金，也可以在履约保证金中扣除相应金额，扣除后乙方应在接到甲方通知后【</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zCs w:val="21"/>
          <w:highlight w:val="none"/>
          <w:lang w:val="zh-TW"/>
        </w:rPr>
        <w:t>】日内补足至本合同约定的履约保证金额度。逾期未补足的，甲方有权每日按逾期金额的万分之五收取违约金。逾期30日仍未补足的，甲方有权解除合同，并有权要求乙方支付本合同约定合同总价</w:t>
      </w:r>
      <w:r>
        <w:rPr>
          <w:rFonts w:hint="eastAsia" w:asciiTheme="minorEastAsia" w:hAnsiTheme="minorEastAsia" w:eastAsiaTheme="minorEastAsia" w:cstheme="minorEastAsia"/>
          <w:b/>
          <w:color w:val="auto"/>
          <w:szCs w:val="21"/>
          <w:highlight w:val="none"/>
          <w:lang w:val="zh-TW"/>
        </w:rPr>
        <w:t>20%</w:t>
      </w:r>
      <w:r>
        <w:rPr>
          <w:rFonts w:hint="eastAsia" w:asciiTheme="minorEastAsia" w:hAnsiTheme="minorEastAsia" w:eastAsiaTheme="minorEastAsia" w:cstheme="minorEastAsia"/>
          <w:color w:val="auto"/>
          <w:szCs w:val="21"/>
          <w:highlight w:val="none"/>
          <w:lang w:val="zh-TW"/>
        </w:rPr>
        <w:t>的违约金。</w:t>
      </w:r>
    </w:p>
    <w:p>
      <w:pPr>
        <w:adjustRightInd w:val="0"/>
        <w:snapToGrid w:val="0"/>
        <w:spacing w:line="360" w:lineRule="auto"/>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四、订单、交货时间、交货地点和方式</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4.1</w:t>
      </w:r>
      <w:r>
        <w:rPr>
          <w:rFonts w:hint="eastAsia" w:asciiTheme="minorEastAsia" w:hAnsiTheme="minorEastAsia" w:eastAsiaTheme="minorEastAsia" w:cstheme="minorEastAsia"/>
          <w:color w:val="auto"/>
          <w:szCs w:val="21"/>
          <w:highlight w:val="none"/>
        </w:rPr>
        <w:t>甲方按实际需要以书面方式（包括邮寄、邮件、微信、QQ等）向乙方分批次下达订单，乙方应在接到订单之时起将货物准备齐全，并按本合同约定期限或订单特别要求的期限送货到甲方指定地点或库房并码放整齐，乙方应在送货前提前通知甲方送货时间。在特殊情况下，甲方在乙方送货前有权撤回订单。</w:t>
      </w:r>
    </w:p>
    <w:p>
      <w:pPr>
        <w:pStyle w:val="2"/>
        <w:spacing w:line="360" w:lineRule="auto"/>
        <w:ind w:firstLine="422"/>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4.2</w:t>
      </w:r>
      <w:r>
        <w:rPr>
          <w:rFonts w:hint="eastAsia" w:asciiTheme="minorEastAsia" w:hAnsiTheme="minorEastAsia" w:eastAsiaTheme="minorEastAsia" w:cstheme="minorEastAsia"/>
          <w:color w:val="auto"/>
          <w:szCs w:val="21"/>
          <w:highlight w:val="none"/>
        </w:rPr>
        <w:t>货物</w:t>
      </w:r>
      <w:r>
        <w:rPr>
          <w:rFonts w:hint="eastAsia" w:asciiTheme="minorEastAsia" w:hAnsiTheme="minorEastAsia" w:eastAsiaTheme="minorEastAsia" w:cstheme="minorEastAsia"/>
          <w:color w:val="auto"/>
          <w:szCs w:val="21"/>
          <w:highlight w:val="none"/>
          <w:lang w:val="zh-TW"/>
        </w:rPr>
        <w:t>交接地点：【 】，具体以甲方指定的地点为准。</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4.3</w:t>
      </w:r>
      <w:r>
        <w:rPr>
          <w:rFonts w:hint="eastAsia" w:asciiTheme="minorEastAsia" w:hAnsiTheme="minorEastAsia" w:eastAsiaTheme="minorEastAsia" w:cstheme="minorEastAsia"/>
          <w:color w:val="auto"/>
          <w:szCs w:val="21"/>
          <w:highlight w:val="none"/>
        </w:rPr>
        <w:t xml:space="preserve"> 甲方指定的签字收货人：【 】，联系电话：【 】，邮箱：【 】。</w:t>
      </w:r>
    </w:p>
    <w:p>
      <w:pPr>
        <w:adjustRightInd w:val="0"/>
        <w:snapToGrid w:val="0"/>
        <w:spacing w:line="360" w:lineRule="auto"/>
        <w:ind w:firstLine="840" w:firstLineChars="4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乙方送货联系人：【 】，联系电话：【 】，邮箱：【 】。</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w:t>
      </w:r>
      <w:r>
        <w:rPr>
          <w:rFonts w:hint="eastAsia" w:asciiTheme="minorEastAsia" w:hAnsiTheme="minorEastAsia" w:eastAsiaTheme="minorEastAsia" w:cstheme="minorEastAsia"/>
          <w:color w:val="auto"/>
          <w:szCs w:val="21"/>
          <w:highlight w:val="none"/>
        </w:rPr>
        <w:t xml:space="preserve">送货要求： </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4.4.1</w:t>
      </w:r>
      <w:r>
        <w:rPr>
          <w:rFonts w:hint="eastAsia" w:asciiTheme="minorEastAsia" w:hAnsiTheme="minorEastAsia" w:eastAsiaTheme="minorEastAsia" w:cstheme="minorEastAsia"/>
          <w:color w:val="auto"/>
          <w:szCs w:val="21"/>
          <w:highlight w:val="none"/>
        </w:rPr>
        <w:t>乙方在接到甲方订单后</w:t>
      </w:r>
      <w:r>
        <w:rPr>
          <w:rFonts w:hint="eastAsia" w:asciiTheme="minorEastAsia" w:hAnsiTheme="minorEastAsia" w:eastAsiaTheme="minorEastAsia" w:cstheme="minorEastAsia"/>
          <w:color w:val="auto"/>
          <w:szCs w:val="21"/>
          <w:highlight w:val="none"/>
          <w:lang w:val="zh-TW"/>
        </w:rPr>
        <w:t>【</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zCs w:val="21"/>
          <w:highlight w:val="none"/>
          <w:lang w:val="zh-TW"/>
        </w:rPr>
        <w:t>】个</w:t>
      </w:r>
      <w:r>
        <w:rPr>
          <w:rFonts w:hint="eastAsia" w:asciiTheme="minorEastAsia" w:hAnsiTheme="minorEastAsia" w:eastAsiaTheme="minorEastAsia" w:cstheme="minorEastAsia"/>
          <w:color w:val="auto"/>
          <w:szCs w:val="21"/>
          <w:highlight w:val="none"/>
        </w:rPr>
        <w:t>工作日内将订单所列货物全部送达甲方指定地点。甲方如有紧急需用的物品，乙方必须在接到供货通知后</w:t>
      </w:r>
      <w:r>
        <w:rPr>
          <w:rFonts w:hint="eastAsia" w:asciiTheme="minorEastAsia" w:hAnsiTheme="minorEastAsia" w:eastAsiaTheme="minorEastAsia" w:cstheme="minorEastAsia"/>
          <w:color w:val="auto"/>
          <w:szCs w:val="21"/>
          <w:highlight w:val="none"/>
          <w:lang w:val="zh-TW"/>
        </w:rPr>
        <w:t>【</w:t>
      </w:r>
      <w:r>
        <w:rPr>
          <w:rFonts w:hint="eastAsia" w:asciiTheme="minorEastAsia" w:hAnsiTheme="minorEastAsia" w:eastAsiaTheme="minorEastAsia" w:cstheme="minorEastAsia"/>
          <w:color w:val="auto"/>
          <w:szCs w:val="21"/>
          <w:highlight w:val="none"/>
        </w:rPr>
        <w:t>24</w:t>
      </w:r>
      <w:r>
        <w:rPr>
          <w:rFonts w:hint="eastAsia" w:asciiTheme="minorEastAsia" w:hAnsiTheme="minorEastAsia" w:eastAsiaTheme="minorEastAsia" w:cstheme="minorEastAsia"/>
          <w:color w:val="auto"/>
          <w:szCs w:val="21"/>
          <w:highlight w:val="none"/>
          <w:lang w:val="zh-TW"/>
        </w:rPr>
        <w:t>】</w:t>
      </w:r>
      <w:r>
        <w:rPr>
          <w:rFonts w:hint="eastAsia" w:asciiTheme="minorEastAsia" w:hAnsiTheme="minorEastAsia" w:eastAsiaTheme="minorEastAsia" w:cstheme="minorEastAsia"/>
          <w:color w:val="auto"/>
          <w:szCs w:val="21"/>
          <w:highlight w:val="none"/>
        </w:rPr>
        <w:t>小时内送达甲方指定地点。</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4.4.2</w:t>
      </w:r>
      <w:r>
        <w:rPr>
          <w:rFonts w:hint="eastAsia" w:asciiTheme="minorEastAsia" w:hAnsiTheme="minorEastAsia" w:eastAsiaTheme="minorEastAsia" w:cstheme="minorEastAsia"/>
          <w:color w:val="auto"/>
          <w:szCs w:val="21"/>
          <w:highlight w:val="none"/>
        </w:rPr>
        <w:t>乙方应满足接到甲方订单后按约定时限送货的要求，根据甲方每批次采购量和采购频率提前备货。但在合同因任何原因解除的情况下，甲方对乙方备货不承担任何责任。</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4.4.3</w:t>
      </w:r>
      <w:r>
        <w:rPr>
          <w:rFonts w:hint="eastAsia" w:asciiTheme="minorEastAsia" w:hAnsiTheme="minorEastAsia" w:eastAsiaTheme="minorEastAsia" w:cstheme="minorEastAsia"/>
          <w:color w:val="auto"/>
          <w:szCs w:val="21"/>
          <w:highlight w:val="none"/>
        </w:rPr>
        <w:t>乙方应严格按照甲方订单要求送货，不允许溢短装。</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4.4.4</w:t>
      </w:r>
      <w:r>
        <w:rPr>
          <w:rFonts w:hint="eastAsia" w:asciiTheme="minorEastAsia" w:hAnsiTheme="minorEastAsia" w:eastAsiaTheme="minorEastAsia" w:cstheme="minorEastAsia"/>
          <w:color w:val="auto"/>
          <w:szCs w:val="21"/>
          <w:highlight w:val="none"/>
        </w:rPr>
        <w:t>乙方交货前应对货物质量、数量作出全面检查始能发货。</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4.4.5</w:t>
      </w:r>
      <w:r>
        <w:rPr>
          <w:rFonts w:hint="eastAsia" w:asciiTheme="minorEastAsia" w:hAnsiTheme="minorEastAsia" w:eastAsiaTheme="minorEastAsia" w:cstheme="minorEastAsia"/>
          <w:color w:val="auto"/>
          <w:szCs w:val="21"/>
          <w:highlight w:val="none"/>
        </w:rPr>
        <w:t>乙方每次送货须随货送上一式两份的送货清单（该送货清单须与甲方订单货物、数量保持一致）。如涉及补货的，乙方应随货送上一式两份的补货送货清单。</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4.4.6</w:t>
      </w:r>
      <w:r>
        <w:rPr>
          <w:rFonts w:hint="eastAsia" w:asciiTheme="minorEastAsia" w:hAnsiTheme="minorEastAsia" w:eastAsiaTheme="minorEastAsia" w:cstheme="minorEastAsia"/>
          <w:bCs/>
          <w:color w:val="auto"/>
          <w:szCs w:val="21"/>
          <w:highlight w:val="none"/>
        </w:rPr>
        <w:t>包装标准：</w:t>
      </w:r>
      <w:r>
        <w:rPr>
          <w:rFonts w:hint="eastAsia" w:asciiTheme="minorEastAsia" w:hAnsiTheme="minorEastAsia" w:eastAsiaTheme="minorEastAsia" w:cstheme="minorEastAsia"/>
          <w:color w:val="auto"/>
          <w:szCs w:val="21"/>
          <w:highlight w:val="none"/>
        </w:rPr>
        <w:t>乙方应在货物发运前应当根据产品的特点和运输条件进行包装，采取防潮、防腐、防震、防锈和防破损等必要措施，以确保货物安全运达甲方指定地点及后期正常保存使用，避免货物遭受损坏或变质。货物包装同时应符合以下标准：对于有特殊运输要求的货物（如温度、易碎、易变形、易受潮等），乙方必须加强包装保护措施,同时在包装箱上印有相应醒目标记提示。货物的包装应符合中华人民共和国相关产业或行业标准规定,且具有足够的强度,能保证多次搬运和装卸的需要，以便货物安全可靠抵达交货地点。</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4.4.7</w:t>
      </w:r>
      <w:r>
        <w:rPr>
          <w:rFonts w:hint="eastAsia" w:asciiTheme="minorEastAsia" w:hAnsiTheme="minorEastAsia" w:eastAsiaTheme="minorEastAsia" w:cstheme="minorEastAsia"/>
          <w:color w:val="auto"/>
          <w:szCs w:val="21"/>
          <w:highlight w:val="none"/>
        </w:rPr>
        <w:t>货物规格、使用说明书、质量检验证明书、技术资料、随配附件和工具及其清单一并附于货物内同时向甲方交付。如资料不全的，乙方应在</w:t>
      </w: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color w:val="auto"/>
          <w:szCs w:val="21"/>
          <w:highlight w:val="none"/>
        </w:rPr>
        <w:t>个工作日内自负费用补齐，并应按本合同约定承担逾期交付的违约责任。</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4.4.8</w:t>
      </w:r>
      <w:r>
        <w:rPr>
          <w:rFonts w:hint="eastAsia" w:asciiTheme="minorEastAsia" w:hAnsiTheme="minorEastAsia" w:eastAsiaTheme="minorEastAsia" w:cstheme="minorEastAsia"/>
          <w:color w:val="auto"/>
          <w:szCs w:val="21"/>
          <w:highlight w:val="none"/>
        </w:rPr>
        <w:t>乙方在货物发运手续办理完毕后</w:t>
      </w:r>
      <w:r>
        <w:rPr>
          <w:rFonts w:hint="eastAsia" w:asciiTheme="minorEastAsia" w:hAnsiTheme="minorEastAsia" w:eastAsiaTheme="minorEastAsia" w:cstheme="minorEastAsia"/>
          <w:color w:val="auto"/>
          <w:szCs w:val="21"/>
          <w:highlight w:val="none"/>
          <w:lang w:val="zh-TW"/>
        </w:rPr>
        <w:t>【</w:t>
      </w:r>
      <w:r>
        <w:rPr>
          <w:rFonts w:hint="eastAsia" w:asciiTheme="minorEastAsia" w:hAnsiTheme="minorEastAsia" w:eastAsiaTheme="minorEastAsia" w:cstheme="minorEastAsia"/>
          <w:color w:val="auto"/>
          <w:szCs w:val="21"/>
          <w:highlight w:val="none"/>
        </w:rPr>
        <w:t>12</w:t>
      </w:r>
      <w:r>
        <w:rPr>
          <w:rFonts w:hint="eastAsia" w:asciiTheme="minorEastAsia" w:hAnsiTheme="minorEastAsia" w:eastAsiaTheme="minorEastAsia" w:cstheme="minorEastAsia"/>
          <w:color w:val="auto"/>
          <w:szCs w:val="21"/>
          <w:highlight w:val="none"/>
          <w:lang w:val="zh-TW"/>
        </w:rPr>
        <w:t>】</w:t>
      </w:r>
      <w:r>
        <w:rPr>
          <w:rFonts w:hint="eastAsia" w:asciiTheme="minorEastAsia" w:hAnsiTheme="minorEastAsia" w:eastAsiaTheme="minorEastAsia" w:cstheme="minorEastAsia"/>
          <w:color w:val="auto"/>
          <w:szCs w:val="21"/>
          <w:highlight w:val="none"/>
        </w:rPr>
        <w:t>小时内必须通知甲方，以便甲方准备接货。</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4.4.9</w:t>
      </w:r>
      <w:r>
        <w:rPr>
          <w:rFonts w:hint="eastAsia" w:asciiTheme="minorEastAsia" w:hAnsiTheme="minorEastAsia" w:eastAsiaTheme="minorEastAsia" w:cstheme="minorEastAsia"/>
          <w:color w:val="auto"/>
          <w:szCs w:val="21"/>
          <w:highlight w:val="none"/>
        </w:rPr>
        <w:t>货物在规定的交付期限内由乙方送达甲方指定的交货地点，乙方承担货物运送、搬运等过程中发生的所有费用。乙方应承担甲方确认验收合格前的一切风险，乙方自行负责对所有货物的保险/风险。</w:t>
      </w:r>
    </w:p>
    <w:p>
      <w:pPr>
        <w:adjustRightInd w:val="0"/>
        <w:snapToGrid w:val="0"/>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五、</w:t>
      </w:r>
      <w:r>
        <w:rPr>
          <w:rFonts w:hint="eastAsia" w:asciiTheme="minorEastAsia" w:hAnsiTheme="minorEastAsia" w:eastAsiaTheme="minorEastAsia" w:cstheme="minorEastAsia"/>
          <w:b/>
          <w:color w:val="auto"/>
          <w:szCs w:val="21"/>
          <w:highlight w:val="none"/>
        </w:rPr>
        <w:t>质量标准</w:t>
      </w:r>
    </w:p>
    <w:p>
      <w:pPr>
        <w:adjustRightInd w:val="0"/>
        <w:snapToGrid w:val="0"/>
        <w:spacing w:line="360" w:lineRule="auto"/>
        <w:ind w:firstLine="422" w:firstLineChars="200"/>
        <w:rPr>
          <w:rFonts w:asciiTheme="minorEastAsia" w:hAnsiTheme="minorEastAsia" w:eastAsiaTheme="minorEastAsia" w:cstheme="minorEastAsia"/>
          <w:color w:val="auto"/>
          <w:kern w:val="0"/>
          <w:szCs w:val="21"/>
          <w:highlight w:val="none"/>
          <w:lang w:val="zh-CN"/>
        </w:rPr>
      </w:pPr>
      <w:r>
        <w:rPr>
          <w:rFonts w:hint="eastAsia" w:asciiTheme="minorEastAsia" w:hAnsiTheme="minorEastAsia" w:eastAsiaTheme="minorEastAsia" w:cstheme="minorEastAsia"/>
          <w:b/>
          <w:color w:val="auto"/>
          <w:szCs w:val="21"/>
          <w:highlight w:val="none"/>
        </w:rPr>
        <w:t>5.1</w:t>
      </w:r>
      <w:r>
        <w:rPr>
          <w:rFonts w:hint="eastAsia" w:asciiTheme="minorEastAsia" w:hAnsiTheme="minorEastAsia" w:eastAsiaTheme="minorEastAsia" w:cstheme="minorEastAsia"/>
          <w:color w:val="auto"/>
          <w:szCs w:val="21"/>
          <w:highlight w:val="none"/>
        </w:rPr>
        <w:t>乙方所供应配送的货物质量必须符合相应国家标准或行业标准，并随货向甲方提供所供产品的有效检测报告。</w:t>
      </w:r>
      <w:r>
        <w:rPr>
          <w:rFonts w:hint="eastAsia" w:asciiTheme="minorEastAsia" w:hAnsiTheme="minorEastAsia" w:eastAsiaTheme="minorEastAsia" w:cstheme="minorEastAsia"/>
          <w:color w:val="auto"/>
          <w:kern w:val="0"/>
          <w:szCs w:val="21"/>
          <w:highlight w:val="none"/>
        </w:rPr>
        <w:t>乙方</w:t>
      </w:r>
      <w:r>
        <w:rPr>
          <w:rFonts w:hint="eastAsia" w:asciiTheme="minorEastAsia" w:hAnsiTheme="minorEastAsia" w:eastAsiaTheme="minorEastAsia" w:cstheme="minorEastAsia"/>
          <w:color w:val="auto"/>
          <w:kern w:val="0"/>
          <w:szCs w:val="21"/>
          <w:highlight w:val="none"/>
          <w:lang w:val="zh-CN"/>
        </w:rPr>
        <w:t>在备货时，应进行安全与质量的自检。</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lang w:val="zh-CN"/>
        </w:rPr>
        <w:t>5.2</w:t>
      </w:r>
      <w:r>
        <w:rPr>
          <w:rFonts w:hint="eastAsia" w:asciiTheme="minorEastAsia" w:hAnsiTheme="minorEastAsia" w:eastAsiaTheme="minorEastAsia" w:cstheme="minorEastAsia"/>
          <w:color w:val="auto"/>
          <w:szCs w:val="21"/>
          <w:highlight w:val="none"/>
        </w:rPr>
        <w:t>乙方应提供优质产品，保证产品质量。乙方提供的货物应是全新的、未使用过的。甲方有权对乙方提供的产品实行动态跟踪、检查，并有权对乙方的供货现场进行突击检查，乙方需无条件配合并执行甲方提出的整改项。</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5.3</w:t>
      </w:r>
      <w:r>
        <w:rPr>
          <w:rFonts w:hint="eastAsia" w:asciiTheme="minorEastAsia" w:hAnsiTheme="minorEastAsia" w:eastAsiaTheme="minorEastAsia" w:cstheme="minorEastAsia"/>
          <w:color w:val="auto"/>
          <w:szCs w:val="21"/>
          <w:highlight w:val="none"/>
        </w:rPr>
        <w:t>所有产品均应优先提供现存商品中保质期内生产时间较新的全新优质产品。</w:t>
      </w:r>
    </w:p>
    <w:p>
      <w:pPr>
        <w:adjustRightInd w:val="0"/>
        <w:snapToGrid w:val="0"/>
        <w:spacing w:after="240" w:afterLines="100"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5.4</w:t>
      </w:r>
      <w:r>
        <w:rPr>
          <w:rFonts w:hint="eastAsia" w:asciiTheme="minorEastAsia" w:hAnsiTheme="minorEastAsia" w:eastAsiaTheme="minorEastAsia" w:cstheme="minorEastAsia"/>
          <w:color w:val="auto"/>
          <w:szCs w:val="21"/>
          <w:highlight w:val="none"/>
        </w:rPr>
        <w:t>乙方不得擅自变更产品型号，应严格按甲方要求（含品种、规格等）供应，否则，甲方有权拒收。如因停产或其他原因导致确实需要变更的，应向甲方提出申请，办理变更手续。</w:t>
      </w:r>
    </w:p>
    <w:p>
      <w:pPr>
        <w:adjustRightInd w:val="0"/>
        <w:snapToGrid w:val="0"/>
        <w:spacing w:after="240" w:afterLines="100"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5.5</w:t>
      </w:r>
      <w:r>
        <w:rPr>
          <w:rFonts w:hint="eastAsia" w:asciiTheme="minorEastAsia" w:hAnsiTheme="minorEastAsia" w:eastAsiaTheme="minorEastAsia" w:cstheme="minorEastAsia"/>
          <w:color w:val="auto"/>
          <w:szCs w:val="21"/>
          <w:highlight w:val="none"/>
        </w:rPr>
        <w:t>甲乙双方对货物质量发生异议，则甲方有权委托我国相关具有检验资质的部门、单位、机构对交付货物的质量进行检验，其检验结果将作为验收标准的组成部分之一，检测费用由乙方承担。</w:t>
      </w:r>
    </w:p>
    <w:p>
      <w:pPr>
        <w:adjustRightInd w:val="0"/>
        <w:snapToGrid w:val="0"/>
        <w:spacing w:line="360" w:lineRule="auto"/>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六、验收及异议</w:t>
      </w:r>
    </w:p>
    <w:p>
      <w:pPr>
        <w:spacing w:line="360" w:lineRule="auto"/>
        <w:ind w:firstLine="422" w:firstLineChars="200"/>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b/>
          <w:color w:val="auto"/>
          <w:szCs w:val="21"/>
          <w:highlight w:val="none"/>
        </w:rPr>
        <w:t>6.1</w:t>
      </w:r>
      <w:r>
        <w:rPr>
          <w:rFonts w:hint="eastAsia" w:asciiTheme="minorEastAsia" w:hAnsiTheme="minorEastAsia" w:eastAsiaTheme="minorEastAsia" w:cstheme="minorEastAsia"/>
          <w:color w:val="auto"/>
          <w:szCs w:val="21"/>
          <w:highlight w:val="none"/>
        </w:rPr>
        <w:t>甲方根据本合同约定对乙方交付的货物进行验收。验收标准为</w:t>
      </w:r>
      <w:r>
        <w:rPr>
          <w:rFonts w:hint="eastAsia" w:asciiTheme="minorEastAsia" w:hAnsiTheme="minorEastAsia" w:eastAsiaTheme="minorEastAsia" w:cstheme="minorEastAsia"/>
          <w:color w:val="auto"/>
          <w:szCs w:val="21"/>
          <w:highlight w:val="none"/>
          <w:lang w:val="zh-TW"/>
        </w:rPr>
        <w:t>产品须同时完全符合下列各项标准及要求方为合格</w:t>
      </w:r>
      <w:r>
        <w:rPr>
          <w:rFonts w:hint="eastAsia" w:asciiTheme="minorEastAsia" w:hAnsiTheme="minorEastAsia" w:eastAsiaTheme="minorEastAsia" w:cstheme="minorEastAsia"/>
          <w:color w:val="auto"/>
          <w:szCs w:val="21"/>
          <w:highlight w:val="none"/>
          <w:lang w:val="zh-CN"/>
        </w:rPr>
        <w:t>：</w:t>
      </w:r>
      <w:r>
        <w:rPr>
          <w:rFonts w:hint="eastAsia" w:asciiTheme="minorEastAsia" w:hAnsiTheme="minorEastAsia" w:eastAsiaTheme="minorEastAsia" w:cstheme="minorEastAsia"/>
          <w:color w:val="auto"/>
          <w:szCs w:val="21"/>
          <w:highlight w:val="none"/>
          <w:lang w:val="zh-TW"/>
        </w:rPr>
        <w:t>提供装箱单、质量合格证书、质保卡、产品使用说明书、随附软件及其它应当随箱的技术资料及工具、备品备件；</w:t>
      </w:r>
      <w:r>
        <w:rPr>
          <w:rFonts w:hint="eastAsia" w:asciiTheme="minorEastAsia" w:hAnsiTheme="minorEastAsia" w:eastAsiaTheme="minorEastAsia" w:cstheme="minorEastAsia"/>
          <w:color w:val="auto"/>
          <w:kern w:val="0"/>
          <w:szCs w:val="21"/>
          <w:highlight w:val="none"/>
          <w:lang w:val="zh-TW"/>
        </w:rPr>
        <w:t>符合招标文件及报价要约中涉及品牌、型号、质量、技术、服务、鉴定、检验及验收的全部相关内容或其所指引的内容，且产品满足相应的国家标准或行业标准。</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6.2初步验收</w:t>
      </w:r>
    </w:p>
    <w:p>
      <w:pPr>
        <w:adjustRightInd w:val="0"/>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货物送至甲方指定地点当日，甲方依据本合同约定对货物的数量、品类规格、包装进行验收，如存在不符，视为初步验收不合格。对于超量送货、品类规格不符或包装破损的货物，甲方有权拒收，对于甲方拒收或乙方短量送货的货物，乙方应在收到甲方异议后</w:t>
      </w: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color w:val="auto"/>
          <w:szCs w:val="21"/>
          <w:highlight w:val="none"/>
        </w:rPr>
        <w:t>个工作日内自负费用补齐，并应按本合同约定承担逾期交付的违约责任。送货当日，根据上述验收结果在一式二份送货清单上备注后，由甲方签字收货人和乙方送货人签字确认，双方各执一份，作为货物交付的凭证。</w:t>
      </w:r>
    </w:p>
    <w:p>
      <w:pPr>
        <w:adjustRightInd w:val="0"/>
        <w:snapToGrid w:val="0"/>
        <w:spacing w:line="360" w:lineRule="auto"/>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6.3 最终验收</w:t>
      </w:r>
    </w:p>
    <w:p>
      <w:pPr>
        <w:spacing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CN"/>
        </w:rPr>
        <w:t>该批次产品到货60日内，如</w:t>
      </w:r>
      <w:r>
        <w:rPr>
          <w:rFonts w:hint="eastAsia" w:asciiTheme="minorEastAsia" w:hAnsiTheme="minorEastAsia" w:eastAsiaTheme="minorEastAsia" w:cstheme="minorEastAsia"/>
          <w:color w:val="auto"/>
          <w:szCs w:val="21"/>
          <w:highlight w:val="none"/>
        </w:rPr>
        <w:t>经拆封使用或安装使用后发现的产品与合同约定不符（包括但不限于货物瑕疵、缺陷、损坏、性能或指标不符、货物不符合使用目的，品类规格不符等），一经发现，视为该问题产品最终验收不合格，甲方应在发现后以书面方式向乙方提出异议，</w:t>
      </w:r>
      <w:r>
        <w:rPr>
          <w:rFonts w:hint="eastAsia" w:asciiTheme="minorEastAsia" w:hAnsiTheme="minorEastAsia" w:eastAsiaTheme="minorEastAsia" w:cstheme="minorEastAsia"/>
          <w:color w:val="auto"/>
          <w:szCs w:val="21"/>
          <w:highlight w:val="none"/>
          <w:lang w:val="zh-TW"/>
        </w:rPr>
        <w:t>乙方应按照本合同约定承担延期交货的违约及赔偿责任。</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 xml:space="preserve">6.4 </w:t>
      </w:r>
      <w:r>
        <w:rPr>
          <w:rFonts w:hint="eastAsia" w:asciiTheme="minorEastAsia" w:hAnsiTheme="minorEastAsia" w:eastAsiaTheme="minorEastAsia" w:cstheme="minorEastAsia"/>
          <w:color w:val="auto"/>
          <w:szCs w:val="21"/>
          <w:highlight w:val="none"/>
        </w:rPr>
        <w:t>货物初步验收不合格的，乙方按人民币</w:t>
      </w:r>
      <w:r>
        <w:rPr>
          <w:rFonts w:hint="eastAsia" w:asciiTheme="minorEastAsia" w:hAnsiTheme="minorEastAsia" w:eastAsiaTheme="minorEastAsia" w:cstheme="minorEastAsia"/>
          <w:color w:val="auto"/>
          <w:szCs w:val="21"/>
          <w:highlight w:val="none"/>
          <w:lang w:val="zh-TW"/>
        </w:rPr>
        <w:t>【 】</w:t>
      </w:r>
      <w:r>
        <w:rPr>
          <w:rFonts w:hint="eastAsia" w:asciiTheme="minorEastAsia" w:hAnsiTheme="minorEastAsia" w:eastAsiaTheme="minorEastAsia" w:cstheme="minorEastAsia"/>
          <w:color w:val="auto"/>
          <w:szCs w:val="21"/>
          <w:highlight w:val="none"/>
        </w:rPr>
        <w:t>元/次向甲方支付违约金。三次以上初步验收不合格的，甲方有权要求乙方限期整改，如整改后仍发生初步验收不合格的，甲方有权单方面解除本合同，并有权要求乙方承担相等于履约保证金</w:t>
      </w:r>
      <w:r>
        <w:rPr>
          <w:rFonts w:hint="eastAsia" w:asciiTheme="minorEastAsia" w:hAnsiTheme="minorEastAsia" w:eastAsiaTheme="minorEastAsia" w:cstheme="minorEastAsia"/>
          <w:b/>
          <w:color w:val="auto"/>
          <w:szCs w:val="21"/>
          <w:highlight w:val="none"/>
        </w:rPr>
        <w:t>两倍</w:t>
      </w:r>
      <w:r>
        <w:rPr>
          <w:rFonts w:hint="eastAsia" w:asciiTheme="minorEastAsia" w:hAnsiTheme="minorEastAsia" w:eastAsiaTheme="minorEastAsia" w:cstheme="minorEastAsia"/>
          <w:color w:val="auto"/>
          <w:szCs w:val="21"/>
          <w:highlight w:val="none"/>
        </w:rPr>
        <w:t>的违约金。如违约金不足以赔偿给甲方造成损失的，乙方还应赔偿其不足部分。</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 xml:space="preserve">6.5 </w:t>
      </w:r>
      <w:r>
        <w:rPr>
          <w:rFonts w:hint="eastAsia" w:asciiTheme="minorEastAsia" w:hAnsiTheme="minorEastAsia" w:eastAsiaTheme="minorEastAsia" w:cstheme="minorEastAsia"/>
          <w:color w:val="auto"/>
          <w:szCs w:val="21"/>
          <w:highlight w:val="none"/>
        </w:rPr>
        <w:t>货物最终验收不合格的，乙方按人民币</w:t>
      </w:r>
      <w:r>
        <w:rPr>
          <w:rFonts w:hint="eastAsia" w:asciiTheme="minorEastAsia" w:hAnsiTheme="minorEastAsia" w:eastAsiaTheme="minorEastAsia" w:cstheme="minorEastAsia"/>
          <w:color w:val="auto"/>
          <w:szCs w:val="21"/>
          <w:highlight w:val="none"/>
          <w:lang w:val="zh-TW"/>
        </w:rPr>
        <w:t>【 】</w:t>
      </w:r>
      <w:r>
        <w:rPr>
          <w:rFonts w:hint="eastAsia" w:asciiTheme="minorEastAsia" w:hAnsiTheme="minorEastAsia" w:eastAsiaTheme="minorEastAsia" w:cstheme="minorEastAsia"/>
          <w:color w:val="auto"/>
          <w:szCs w:val="21"/>
          <w:highlight w:val="none"/>
        </w:rPr>
        <w:t>元/次向甲方支付违约金。两次以上最终验收不合格的，甲方有权单方面解除本合同，并有权要求乙方承担相等于履约保证金</w:t>
      </w:r>
      <w:r>
        <w:rPr>
          <w:rFonts w:hint="eastAsia" w:asciiTheme="minorEastAsia" w:hAnsiTheme="minorEastAsia" w:eastAsiaTheme="minorEastAsia" w:cstheme="minorEastAsia"/>
          <w:b/>
          <w:color w:val="auto"/>
          <w:szCs w:val="21"/>
          <w:highlight w:val="none"/>
        </w:rPr>
        <w:t>三倍</w:t>
      </w:r>
      <w:r>
        <w:rPr>
          <w:rFonts w:hint="eastAsia" w:asciiTheme="minorEastAsia" w:hAnsiTheme="minorEastAsia" w:eastAsiaTheme="minorEastAsia" w:cstheme="minorEastAsia"/>
          <w:color w:val="auto"/>
          <w:szCs w:val="21"/>
          <w:highlight w:val="none"/>
        </w:rPr>
        <w:t>的违约金。如违约金不足以赔偿给甲方造成损失的，乙方还应赔偿其不足部分。</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lang w:val="zh-TW"/>
        </w:rPr>
        <w:t>6.6</w:t>
      </w:r>
      <w:r>
        <w:rPr>
          <w:rFonts w:hint="eastAsia" w:asciiTheme="minorEastAsia" w:hAnsiTheme="minorEastAsia" w:eastAsiaTheme="minorEastAsia" w:cstheme="minorEastAsia"/>
          <w:color w:val="auto"/>
          <w:szCs w:val="21"/>
          <w:highlight w:val="none"/>
          <w:lang w:val="zh-TW"/>
        </w:rPr>
        <w:t xml:space="preserve"> 对于需要对甲方人员进行产品使用和操作培训的产品，乙方在产品安装调试完成前或根据甲方的要求，免费负责对甲方操作人员提供必需的操作培训，并确保甲方操作人员能够根据产品操作规范使用和操作设备。乙方应提供设备的使用说明书或操作手册，以供甲方持续培训操作人员。</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lang w:val="zh-TW"/>
        </w:rPr>
        <w:t>6.7</w:t>
      </w:r>
      <w:r>
        <w:rPr>
          <w:rFonts w:hint="eastAsia" w:asciiTheme="minorEastAsia" w:hAnsiTheme="minorEastAsia" w:eastAsiaTheme="minorEastAsia" w:cstheme="minorEastAsia"/>
          <w:color w:val="auto"/>
          <w:szCs w:val="21"/>
          <w:highlight w:val="none"/>
          <w:lang w:val="zh-TW"/>
        </w:rPr>
        <w:t xml:space="preserve"> 送货、</w:t>
      </w:r>
      <w:r>
        <w:rPr>
          <w:rFonts w:hint="eastAsia" w:asciiTheme="minorEastAsia" w:hAnsiTheme="minorEastAsia" w:eastAsiaTheme="minorEastAsia" w:cstheme="minorEastAsia"/>
          <w:color w:val="auto"/>
          <w:szCs w:val="21"/>
          <w:highlight w:val="none"/>
        </w:rPr>
        <w:t>安装调试及试车、试运行期间（如有），乙方应保证其人员（含送货人员）进入甲方场所后听从甲方安排和引导，遵守甲方关于工作场所生产安全管理、防疫规定。若乙方员工过错给甲方或自身造成人身和财产损害的，乙方应对该等损失负责。</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6.8</w:t>
      </w:r>
      <w:r>
        <w:rPr>
          <w:rFonts w:hint="eastAsia" w:asciiTheme="minorEastAsia" w:hAnsiTheme="minorEastAsia" w:eastAsiaTheme="minorEastAsia" w:cstheme="minorEastAsia"/>
          <w:color w:val="auto"/>
          <w:szCs w:val="21"/>
          <w:highlight w:val="none"/>
        </w:rPr>
        <w:t xml:space="preserve"> 甲方最终验收合格，并不免除乙方依据法律、法规规定和本合同约定需承担的责任。</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6.9</w:t>
      </w:r>
      <w:r>
        <w:rPr>
          <w:rFonts w:hint="eastAsia" w:asciiTheme="minorEastAsia" w:hAnsiTheme="minorEastAsia" w:eastAsiaTheme="minorEastAsia" w:cstheme="minorEastAsia"/>
          <w:color w:val="auto"/>
          <w:szCs w:val="21"/>
          <w:highlight w:val="none"/>
          <w:lang w:val="zh-TW"/>
        </w:rPr>
        <w:t>乙方保证向</w:t>
      </w:r>
      <w:r>
        <w:rPr>
          <w:rFonts w:hint="eastAsia" w:asciiTheme="minorEastAsia" w:hAnsiTheme="minorEastAsia" w:eastAsiaTheme="minorEastAsia" w:cstheme="minorEastAsia"/>
          <w:color w:val="auto"/>
          <w:szCs w:val="21"/>
          <w:highlight w:val="none"/>
          <w:lang w:val="zh-CN"/>
        </w:rPr>
        <w:t>甲</w:t>
      </w:r>
      <w:r>
        <w:rPr>
          <w:rFonts w:hint="eastAsia" w:asciiTheme="minorEastAsia" w:hAnsiTheme="minorEastAsia" w:eastAsiaTheme="minorEastAsia" w:cstheme="minorEastAsia"/>
          <w:color w:val="auto"/>
          <w:szCs w:val="21"/>
          <w:highlight w:val="none"/>
          <w:lang w:val="zh-TW"/>
        </w:rPr>
        <w:t>方提供的技术资料、检验证书包括全部中文版本是清晰的、正确的、完整的。如发现缺失，乙方应在甲方送达异议通知之日起【 】日内将需补足的资料交付到甲方指定地点，按本合同前述各条款项规定交付及验收，甲方有权要求乙方承担逾期交付的违约责任。</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 xml:space="preserve">6.10 </w:t>
      </w:r>
      <w:r>
        <w:rPr>
          <w:rFonts w:hint="eastAsia" w:asciiTheme="minorEastAsia" w:hAnsiTheme="minorEastAsia" w:eastAsiaTheme="minorEastAsia" w:cstheme="minorEastAsia"/>
          <w:color w:val="auto"/>
          <w:szCs w:val="21"/>
          <w:highlight w:val="none"/>
        </w:rPr>
        <w:t>对危及人身、财产安全的货物质量问题采取零容忍措施，一经发现，视为最终验收不合格，乙方应按《产品质量法》承担产品责任及按本合同约定承担责任，且该责任不受内在验收期限的限制。</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6.11</w:t>
      </w:r>
      <w:r>
        <w:rPr>
          <w:rFonts w:hint="eastAsia" w:asciiTheme="minorEastAsia" w:hAnsiTheme="minorEastAsia" w:eastAsiaTheme="minorEastAsia" w:cstheme="minorEastAsia"/>
          <w:color w:val="auto"/>
          <w:szCs w:val="21"/>
          <w:highlight w:val="none"/>
        </w:rPr>
        <w:t>甲方不定期对货物进行抽查过磅，根据《定量包装商品计量监督管理办法》规定，货物净重应足斤足克，不得超过国家允许短缺量，如超过，视为该问题产品同批次产品均内在验收不合格，并按本合同约定承担责任。</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 xml:space="preserve">6.12 </w:t>
      </w:r>
      <w:r>
        <w:rPr>
          <w:rFonts w:hint="eastAsia" w:asciiTheme="minorEastAsia" w:hAnsiTheme="minorEastAsia" w:eastAsiaTheme="minorEastAsia" w:cstheme="minorEastAsia"/>
          <w:color w:val="auto"/>
          <w:szCs w:val="21"/>
          <w:highlight w:val="none"/>
          <w:lang w:val="zh-TW"/>
        </w:rPr>
        <w:t>本合同各相关条款中凡与乙方责任或义务相关及由乙方原因所引起的涉及各项产品、零件、部件、配件及资料的更、换、补、退等情形，因此产生的任何相关价款、成本、费用，包括但不限于运输、安装、服务、维修、调试等，以及保险、税、费等，均应当由乙方自行承担。</w:t>
      </w:r>
    </w:p>
    <w:p>
      <w:pPr>
        <w:adjustRightInd w:val="0"/>
        <w:snapToGrid w:val="0"/>
        <w:spacing w:line="360" w:lineRule="auto"/>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七、结算方式</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7.1</w:t>
      </w:r>
      <w:r>
        <w:rPr>
          <w:rFonts w:hint="eastAsia" w:asciiTheme="minorEastAsia" w:hAnsiTheme="minorEastAsia" w:eastAsiaTheme="minorEastAsia" w:cstheme="minorEastAsia"/>
          <w:color w:val="auto"/>
          <w:szCs w:val="21"/>
          <w:highlight w:val="none"/>
        </w:rPr>
        <w:t>每次交货最终验收合格后</w:t>
      </w:r>
      <w:r>
        <w:rPr>
          <w:rFonts w:hint="eastAsia" w:asciiTheme="minorEastAsia" w:hAnsiTheme="minorEastAsia" w:eastAsiaTheme="minorEastAsia" w:cstheme="minorEastAsia"/>
          <w:color w:val="auto"/>
          <w:szCs w:val="21"/>
          <w:highlight w:val="none"/>
          <w:lang w:val="zh-TW"/>
        </w:rPr>
        <w:t>【 】</w:t>
      </w:r>
      <w:r>
        <w:rPr>
          <w:rFonts w:hint="eastAsia" w:asciiTheme="minorEastAsia" w:hAnsiTheme="minorEastAsia" w:eastAsiaTheme="minorEastAsia" w:cstheme="minorEastAsia"/>
          <w:color w:val="auto"/>
          <w:szCs w:val="21"/>
          <w:highlight w:val="none"/>
        </w:rPr>
        <w:t>日内，乙方按甲方的要求核对供货数量和金额，并按投标承诺税率提供该批次货物全额增值税专用发票，甲方在收到发票核对正确之后</w:t>
      </w:r>
      <w:r>
        <w:rPr>
          <w:rFonts w:hint="eastAsia" w:asciiTheme="minorEastAsia" w:hAnsiTheme="minorEastAsia" w:eastAsiaTheme="minorEastAsia" w:cstheme="minorEastAsia"/>
          <w:color w:val="auto"/>
          <w:szCs w:val="21"/>
          <w:highlight w:val="none"/>
          <w:lang w:val="zh-TW"/>
        </w:rPr>
        <w:t>【 】日</w:t>
      </w:r>
      <w:r>
        <w:rPr>
          <w:rFonts w:hint="eastAsia" w:asciiTheme="minorEastAsia" w:hAnsiTheme="minorEastAsia" w:eastAsiaTheme="minorEastAsia" w:cstheme="minorEastAsia"/>
          <w:color w:val="auto"/>
          <w:szCs w:val="21"/>
          <w:highlight w:val="none"/>
        </w:rPr>
        <w:t>内支付该批次货款。</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7.2</w:t>
      </w:r>
      <w:r>
        <w:rPr>
          <w:rFonts w:hint="eastAsia" w:asciiTheme="minorEastAsia" w:hAnsiTheme="minorEastAsia" w:eastAsiaTheme="minorEastAsia" w:cstheme="minorEastAsia"/>
          <w:color w:val="auto"/>
          <w:szCs w:val="21"/>
          <w:highlight w:val="none"/>
        </w:rPr>
        <w:t>发票中需列明品种、单价、数量、金额等。若采购的数量较多无法在发票中完全体现，需提供在开票税控系统中打印的清单明细。</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7.3</w:t>
      </w:r>
      <w:r>
        <w:rPr>
          <w:rFonts w:hint="eastAsia" w:asciiTheme="minorEastAsia" w:hAnsiTheme="minorEastAsia" w:eastAsiaTheme="minorEastAsia" w:cstheme="minorEastAsia"/>
          <w:color w:val="auto"/>
          <w:szCs w:val="21"/>
          <w:highlight w:val="none"/>
          <w:lang w:val="zh-TW"/>
        </w:rPr>
        <w:t>乙方指定账户信息</w:t>
      </w:r>
      <w:r>
        <w:rPr>
          <w:rFonts w:hint="eastAsia" w:asciiTheme="minorEastAsia" w:hAnsiTheme="minorEastAsia" w:eastAsiaTheme="minorEastAsia" w:cstheme="minorEastAsia"/>
          <w:color w:val="auto"/>
          <w:szCs w:val="21"/>
          <w:highlight w:val="none"/>
        </w:rPr>
        <w:t>:</w:t>
      </w:r>
    </w:p>
    <w:p>
      <w:pPr>
        <w:spacing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TW"/>
        </w:rPr>
        <w:t>开户行</w:t>
      </w:r>
      <w:r>
        <w:rPr>
          <w:rFonts w:hint="eastAsia" w:asciiTheme="minorEastAsia" w:hAnsiTheme="minorEastAsia" w:eastAsiaTheme="minorEastAsia" w:cstheme="minorEastAsia"/>
          <w:color w:val="auto"/>
          <w:szCs w:val="21"/>
          <w:highlight w:val="none"/>
        </w:rPr>
        <w:t xml:space="preserve">: 【 】                    </w:t>
      </w:r>
    </w:p>
    <w:p>
      <w:pPr>
        <w:spacing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TW"/>
        </w:rPr>
        <w:t xml:space="preserve">账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zh-TW"/>
        </w:rPr>
        <w:t>户：</w:t>
      </w:r>
      <w:r>
        <w:rPr>
          <w:rFonts w:hint="eastAsia" w:asciiTheme="minorEastAsia" w:hAnsiTheme="minorEastAsia" w:eastAsiaTheme="minorEastAsia" w:cstheme="minorEastAsia"/>
          <w:color w:val="auto"/>
          <w:szCs w:val="21"/>
          <w:highlight w:val="none"/>
        </w:rPr>
        <w:t>【 】</w:t>
      </w:r>
    </w:p>
    <w:p>
      <w:pPr>
        <w:spacing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TW"/>
        </w:rPr>
        <w:t>账　号</w:t>
      </w:r>
      <w:r>
        <w:rPr>
          <w:rFonts w:hint="eastAsia" w:asciiTheme="minorEastAsia" w:hAnsiTheme="minorEastAsia" w:eastAsiaTheme="minorEastAsia" w:cstheme="minorEastAsia"/>
          <w:color w:val="auto"/>
          <w:szCs w:val="21"/>
          <w:highlight w:val="none"/>
        </w:rPr>
        <w:t xml:space="preserve">:  【 】                                      </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color w:val="auto"/>
          <w:szCs w:val="21"/>
          <w:highlight w:val="none"/>
          <w:lang w:val="zh-TW"/>
        </w:rPr>
        <w:t>财务联系人：</w:t>
      </w:r>
      <w:r>
        <w:rPr>
          <w:rFonts w:hint="eastAsia" w:asciiTheme="minorEastAsia" w:hAnsiTheme="minorEastAsia" w:eastAsiaTheme="minorEastAsia" w:cstheme="minorEastAsia"/>
          <w:color w:val="auto"/>
          <w:szCs w:val="21"/>
          <w:highlight w:val="none"/>
        </w:rPr>
        <w:t>【 】</w:t>
      </w:r>
      <w:r>
        <w:rPr>
          <w:rFonts w:hint="eastAsia" w:asciiTheme="minorEastAsia" w:hAnsiTheme="minorEastAsia" w:eastAsiaTheme="minorEastAsia" w:cstheme="minorEastAsia"/>
          <w:color w:val="auto"/>
          <w:szCs w:val="21"/>
          <w:highlight w:val="none"/>
          <w:lang w:val="zh-TW"/>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zh-TW"/>
        </w:rPr>
        <w:t>电话：</w:t>
      </w:r>
      <w:r>
        <w:rPr>
          <w:rFonts w:hint="eastAsia" w:asciiTheme="minorEastAsia" w:hAnsiTheme="minorEastAsia" w:eastAsiaTheme="minorEastAsia" w:cstheme="minorEastAsia"/>
          <w:color w:val="auto"/>
          <w:szCs w:val="21"/>
          <w:highlight w:val="none"/>
        </w:rPr>
        <w:t>【 】</w:t>
      </w:r>
      <w:r>
        <w:rPr>
          <w:rFonts w:hint="eastAsia" w:asciiTheme="minorEastAsia" w:hAnsiTheme="minorEastAsia" w:eastAsiaTheme="minorEastAsia" w:cstheme="minorEastAsia"/>
          <w:color w:val="auto"/>
          <w:szCs w:val="21"/>
          <w:highlight w:val="none"/>
          <w:lang w:val="zh-TW"/>
        </w:rPr>
        <w:t xml:space="preserve">                      </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7.4</w:t>
      </w:r>
      <w:r>
        <w:rPr>
          <w:rFonts w:hint="eastAsia" w:asciiTheme="minorEastAsia" w:hAnsiTheme="minorEastAsia" w:eastAsiaTheme="minorEastAsia" w:cstheme="minorEastAsia"/>
          <w:color w:val="auto"/>
          <w:szCs w:val="21"/>
          <w:highlight w:val="none"/>
          <w:lang w:val="zh-TW"/>
        </w:rPr>
        <w:t>甲方增值税发票账号信息：</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color w:val="auto"/>
          <w:szCs w:val="21"/>
          <w:highlight w:val="none"/>
          <w:lang w:val="zh-TW"/>
        </w:rPr>
        <w:t>营业执照公司名称：</w:t>
      </w:r>
      <w:r>
        <w:rPr>
          <w:rFonts w:hint="eastAsia" w:asciiTheme="minorEastAsia" w:hAnsiTheme="minorEastAsia" w:eastAsiaTheme="minorEastAsia" w:cstheme="minorEastAsia"/>
          <w:color w:val="auto"/>
          <w:szCs w:val="21"/>
          <w:highlight w:val="none"/>
        </w:rPr>
        <w:t>【宁波机场集团有限公司 】</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color w:val="auto"/>
          <w:szCs w:val="21"/>
          <w:highlight w:val="none"/>
          <w:lang w:val="zh-TW"/>
        </w:rPr>
        <w:t>税务登记证号码：</w:t>
      </w:r>
      <w:r>
        <w:rPr>
          <w:rFonts w:hint="eastAsia" w:asciiTheme="minorEastAsia" w:hAnsiTheme="minorEastAsia" w:eastAsiaTheme="minorEastAsia" w:cstheme="minorEastAsia"/>
          <w:color w:val="auto"/>
          <w:szCs w:val="21"/>
          <w:highlight w:val="none"/>
        </w:rPr>
        <w:t>【91330200704868422J】</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color w:val="auto"/>
          <w:szCs w:val="21"/>
          <w:highlight w:val="none"/>
          <w:lang w:val="zh-TW"/>
        </w:rPr>
        <w:t>开户银行及账号：</w:t>
      </w:r>
      <w:r>
        <w:rPr>
          <w:rFonts w:hint="eastAsia" w:asciiTheme="minorEastAsia" w:hAnsiTheme="minorEastAsia" w:eastAsiaTheme="minorEastAsia" w:cstheme="minorEastAsia"/>
          <w:color w:val="auto"/>
          <w:szCs w:val="21"/>
          <w:highlight w:val="none"/>
        </w:rPr>
        <w:t>【中国建设银行宁波古林支行33101984337052500023 】</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color w:val="auto"/>
          <w:szCs w:val="21"/>
          <w:highlight w:val="none"/>
          <w:lang w:val="zh-TW"/>
        </w:rPr>
        <w:t>公司地址：</w:t>
      </w:r>
      <w:r>
        <w:rPr>
          <w:rFonts w:hint="eastAsia" w:asciiTheme="minorEastAsia" w:hAnsiTheme="minorEastAsia" w:eastAsiaTheme="minorEastAsia" w:cstheme="minorEastAsia"/>
          <w:color w:val="auto"/>
          <w:szCs w:val="21"/>
          <w:highlight w:val="none"/>
        </w:rPr>
        <w:t xml:space="preserve">【宁波栎社机场内 】    </w:t>
      </w:r>
      <w:r>
        <w:rPr>
          <w:rFonts w:hint="eastAsia" w:asciiTheme="minorEastAsia" w:hAnsiTheme="minorEastAsia" w:eastAsiaTheme="minorEastAsia" w:cstheme="minorEastAsia"/>
          <w:color w:val="auto"/>
          <w:szCs w:val="21"/>
          <w:highlight w:val="none"/>
          <w:lang w:val="zh-TW"/>
        </w:rPr>
        <w:t>联系电话：</w:t>
      </w:r>
      <w:r>
        <w:rPr>
          <w:rFonts w:hint="eastAsia" w:asciiTheme="minorEastAsia" w:hAnsiTheme="minorEastAsia" w:eastAsiaTheme="minorEastAsia" w:cstheme="minorEastAsia"/>
          <w:color w:val="auto"/>
          <w:szCs w:val="21"/>
          <w:highlight w:val="none"/>
        </w:rPr>
        <w:t>【0574-89005355】</w:t>
      </w:r>
    </w:p>
    <w:p>
      <w:pPr>
        <w:spacing w:line="360" w:lineRule="auto"/>
        <w:ind w:firstLine="6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7.5</w:t>
      </w:r>
      <w:r>
        <w:rPr>
          <w:rFonts w:hint="eastAsia" w:asciiTheme="minorEastAsia" w:hAnsiTheme="minorEastAsia" w:eastAsiaTheme="minorEastAsia" w:cstheme="minorEastAsia"/>
          <w:color w:val="auto"/>
          <w:szCs w:val="21"/>
          <w:highlight w:val="none"/>
          <w:lang w:val="zh-TW"/>
        </w:rPr>
        <w:t>上述账户</w:t>
      </w:r>
      <w:r>
        <w:rPr>
          <w:rFonts w:hint="eastAsia" w:asciiTheme="minorEastAsia" w:hAnsiTheme="minorEastAsia" w:eastAsiaTheme="minorEastAsia" w:cstheme="minorEastAsia"/>
          <w:color w:val="auto"/>
          <w:szCs w:val="21"/>
          <w:highlight w:val="none"/>
          <w:lang w:val="zh-CN"/>
        </w:rPr>
        <w:t>或发票</w:t>
      </w:r>
      <w:r>
        <w:rPr>
          <w:rFonts w:hint="eastAsia" w:asciiTheme="minorEastAsia" w:hAnsiTheme="minorEastAsia" w:eastAsiaTheme="minorEastAsia" w:cstheme="minorEastAsia"/>
          <w:color w:val="auto"/>
          <w:szCs w:val="21"/>
          <w:highlight w:val="none"/>
          <w:lang w:val="zh-TW"/>
        </w:rPr>
        <w:t>信息如有变化的，应以</w:t>
      </w:r>
      <w:r>
        <w:rPr>
          <w:rFonts w:hint="eastAsia" w:asciiTheme="minorEastAsia" w:hAnsiTheme="minorEastAsia" w:eastAsiaTheme="minorEastAsia" w:cstheme="minorEastAsia"/>
          <w:color w:val="auto"/>
          <w:szCs w:val="21"/>
          <w:highlight w:val="none"/>
          <w:lang w:val="zh-CN"/>
        </w:rPr>
        <w:t>变更</w:t>
      </w:r>
      <w:r>
        <w:rPr>
          <w:rFonts w:hint="eastAsia" w:asciiTheme="minorEastAsia" w:hAnsiTheme="minorEastAsia" w:eastAsiaTheme="minorEastAsia" w:cstheme="minorEastAsia"/>
          <w:color w:val="auto"/>
          <w:szCs w:val="21"/>
          <w:highlight w:val="none"/>
          <w:lang w:val="zh-TW"/>
        </w:rPr>
        <w:t>方盖有公章的正本书面通知书并经电话确认为准。</w:t>
      </w:r>
    </w:p>
    <w:p>
      <w:pPr>
        <w:spacing w:line="360" w:lineRule="auto"/>
        <w:ind w:firstLine="6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7.6</w:t>
      </w:r>
      <w:r>
        <w:rPr>
          <w:rFonts w:hint="eastAsia" w:asciiTheme="minorEastAsia" w:hAnsiTheme="minorEastAsia" w:eastAsiaTheme="minorEastAsia" w:cstheme="minorEastAsia"/>
          <w:color w:val="auto"/>
          <w:szCs w:val="21"/>
          <w:highlight w:val="none"/>
          <w:lang w:val="zh-TW"/>
        </w:rPr>
        <w:t>如乙方根据本合同规定须向甲方支付违约金或其它赔偿（含退货货款退还）时，甲方有权直接从上述付款中先行扣除该等额款项。如应付款不足以扣除的，在乙方付清违约金或其他赔偿前，甲方有权顺延任何批次付款期限且不被视为违约。若所有应付款均不足以扣除的，乙方还应当就不足部分进行补足。</w:t>
      </w:r>
    </w:p>
    <w:p>
      <w:pPr>
        <w:spacing w:line="360" w:lineRule="auto"/>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color w:val="auto"/>
          <w:szCs w:val="21"/>
          <w:highlight w:val="none"/>
        </w:rPr>
        <w:t>八、</w:t>
      </w:r>
      <w:r>
        <w:rPr>
          <w:rFonts w:hint="eastAsia" w:asciiTheme="minorEastAsia" w:hAnsiTheme="minorEastAsia" w:eastAsiaTheme="minorEastAsia" w:cstheme="minorEastAsia"/>
          <w:b/>
          <w:bCs/>
          <w:color w:val="auto"/>
          <w:szCs w:val="21"/>
          <w:highlight w:val="none"/>
          <w:lang w:val="zh-TW"/>
        </w:rPr>
        <w:t>知识产权及保密</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 xml:space="preserve">8.1 </w:t>
      </w:r>
      <w:r>
        <w:rPr>
          <w:rFonts w:hint="eastAsia" w:asciiTheme="minorEastAsia" w:hAnsiTheme="minorEastAsia" w:eastAsiaTheme="minorEastAsia" w:cstheme="minorEastAsia"/>
          <w:color w:val="auto"/>
          <w:szCs w:val="21"/>
          <w:highlight w:val="none"/>
        </w:rPr>
        <w:t>乙方同意并保证尊重任何他方的知识产权及其它合法权益，承诺其所提供的产品或服务的全部或任何一部分均不存在任何权利瑕疵，不会侵犯、导致或引起侵犯第三方知识产权及其它合法权益，若因本合同所提供的相关产品或服务及因履行本合同导致侵犯第三方的知识产权及其它合法权益，所引起的任何责任、损失和费用均应当由乙方全部承担。</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 xml:space="preserve">8.2 </w:t>
      </w:r>
      <w:r>
        <w:rPr>
          <w:rFonts w:hint="eastAsia" w:asciiTheme="minorEastAsia" w:hAnsiTheme="minorEastAsia" w:eastAsiaTheme="minorEastAsia" w:cstheme="minorEastAsia"/>
          <w:color w:val="auto"/>
          <w:szCs w:val="21"/>
          <w:highlight w:val="none"/>
        </w:rPr>
        <w:t>因乙方提供的产品、配套软件或服务的权利瑕疵导致甲方被主张权利或被起诉的，甲方应及时书面通知乙方，乙方应在接到通知后及时派员（包括员工和律师）协助甲方妥善处理相关争议和/或应诉，争议或诉讼的所有法律后果（包括但不限于协商、和解、调解或判决结果）及甲、乙双方的律师费、调查费、差旅费、公证费、鉴定费等所有用费均由乙方直接支付和承担。乙方在接到甲方通知后未予及时配合和协助的，视为乙方无条件接受甲方出面协商结果或法院裁判结果，并自愿按该结果承担全部责任，同时，此种情况下应视为乙方违约，应按本合同约定的违约条款承担违约金、损失等全部责任。</w:t>
      </w:r>
    </w:p>
    <w:p>
      <w:pPr>
        <w:adjustRightInd w:val="0"/>
        <w:snapToGrid w:val="0"/>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8.3</w:t>
      </w:r>
      <w:r>
        <w:rPr>
          <w:rFonts w:hint="eastAsia" w:asciiTheme="minorEastAsia" w:hAnsiTheme="minorEastAsia" w:eastAsiaTheme="minorEastAsia" w:cstheme="minorEastAsia"/>
          <w:color w:val="auto"/>
          <w:szCs w:val="21"/>
          <w:highlight w:val="none"/>
        </w:rPr>
        <w:t xml:space="preserve"> 甲、乙双方承诺遵循商业保密原则，除法律规定需要披露的内容外，对本合同及其相关补充协议的所有内容以及在合同订立和履行过程接触到的另一方的保密信息，在未征得另一方书面同意的前提下均不得透露、披露、泄露给第三方。如有违反，违约方须承担由此给另一方带来的一切后果并赔偿所有损失（包括但不限于经济损失）。本合同所称保密信息，是指在双方合同订立和履行过程对方提供的或者接触到的对方的任何非公开信息。</w:t>
      </w:r>
    </w:p>
    <w:p>
      <w:pPr>
        <w:adjustRightInd w:val="0"/>
        <w:snapToGrid w:val="0"/>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九、违约责任：</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w:t>
      </w:r>
      <w:r>
        <w:rPr>
          <w:rFonts w:hint="eastAsia" w:asciiTheme="minorEastAsia" w:hAnsiTheme="minorEastAsia" w:eastAsiaTheme="minorEastAsia" w:cstheme="minorEastAsia"/>
          <w:b/>
          <w:color w:val="auto"/>
          <w:szCs w:val="21"/>
          <w:highlight w:val="none"/>
          <w:lang w:val="zh-TW"/>
        </w:rPr>
        <w:t>1</w:t>
      </w:r>
      <w:r>
        <w:rPr>
          <w:rFonts w:hint="eastAsia" w:asciiTheme="minorEastAsia" w:hAnsiTheme="minorEastAsia" w:eastAsiaTheme="minorEastAsia" w:cstheme="minorEastAsia"/>
          <w:color w:val="auto"/>
          <w:szCs w:val="21"/>
          <w:highlight w:val="none"/>
          <w:lang w:val="zh-TW"/>
        </w:rPr>
        <w:t>若乙方未如期按照合同约定的全部内容或要求履行交付合同产品或提供服务、补足或更换符合要求的产品的义务，甲方有权直接向乙方发出违约通知书，乙方应按照甲方选择的下列一种或多种方式承担赔偿责任及违约责任：</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.1.1</w:t>
      </w:r>
      <w:r>
        <w:rPr>
          <w:rFonts w:hint="eastAsia" w:asciiTheme="minorEastAsia" w:hAnsiTheme="minorEastAsia" w:eastAsiaTheme="minorEastAsia" w:cstheme="minorEastAsia"/>
          <w:b/>
          <w:color w:val="auto"/>
          <w:szCs w:val="21"/>
          <w:highlight w:val="none"/>
          <w:lang w:val="zh-TW"/>
        </w:rPr>
        <w:t>限期补交。</w:t>
      </w:r>
      <w:r>
        <w:rPr>
          <w:rFonts w:hint="eastAsia" w:asciiTheme="minorEastAsia" w:hAnsiTheme="minorEastAsia" w:eastAsiaTheme="minorEastAsia" w:cstheme="minorEastAsia"/>
          <w:color w:val="auto"/>
          <w:szCs w:val="21"/>
          <w:highlight w:val="none"/>
          <w:lang w:val="zh-TW"/>
        </w:rPr>
        <w:t>在甲方同意延长的期限内交付全部产品、提供服务并承担由此给甲方造成的直接损失及甲方因此产生的对第三方的责任，延长期内乙方应按逾期交付规定承担相应的违约责任。</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9.1.2</w:t>
      </w:r>
      <w:r>
        <w:rPr>
          <w:rFonts w:hint="eastAsia" w:asciiTheme="minorEastAsia" w:hAnsiTheme="minorEastAsia" w:eastAsiaTheme="minorEastAsia" w:cstheme="minorEastAsia"/>
          <w:b/>
          <w:color w:val="auto"/>
          <w:szCs w:val="21"/>
          <w:highlight w:val="none"/>
          <w:lang w:val="zh-TW"/>
        </w:rPr>
        <w:t>限期更换。</w:t>
      </w:r>
      <w:r>
        <w:rPr>
          <w:rFonts w:hint="eastAsia" w:asciiTheme="minorEastAsia" w:hAnsiTheme="minorEastAsia" w:eastAsiaTheme="minorEastAsia" w:cstheme="minorEastAsia"/>
          <w:color w:val="auto"/>
          <w:szCs w:val="21"/>
          <w:highlight w:val="none"/>
          <w:lang w:val="zh-TW"/>
        </w:rPr>
        <w:t>乙方应在甲方要求的时间内，完成对问题产品同批次产品的更换，以达到本合同规定的各项要求，乙方应承担更换的各项相关费用。更换的相关产品的质量保修期及相关的其它期限也应相应顺延或重新起算。乙方未在要求的期限内更换货物的，甲方有权选择要求乙方按逾期交付规定承担相应的违约责任或该批次产品作退货处理。</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9.1.3</w:t>
      </w:r>
      <w:r>
        <w:rPr>
          <w:rFonts w:hint="eastAsia" w:asciiTheme="minorEastAsia" w:hAnsiTheme="minorEastAsia" w:eastAsiaTheme="minorEastAsia" w:cstheme="minorEastAsia"/>
          <w:b/>
          <w:color w:val="auto"/>
          <w:szCs w:val="21"/>
          <w:highlight w:val="none"/>
          <w:lang w:val="zh-TW"/>
        </w:rPr>
        <w:t>降价。</w:t>
      </w:r>
      <w:r>
        <w:rPr>
          <w:rFonts w:hint="eastAsia" w:asciiTheme="minorEastAsia" w:hAnsiTheme="minorEastAsia" w:eastAsiaTheme="minorEastAsia" w:cstheme="minorEastAsia"/>
          <w:color w:val="auto"/>
          <w:szCs w:val="21"/>
          <w:highlight w:val="none"/>
          <w:lang w:val="zh-TW"/>
        </w:rPr>
        <w:t>如甲方同意接受有质量瑕疵的产品的，则甲方有权根据产品低劣程度、损坏程度和使甲方所遭受的损失以及甲方因此产生的对第三方的责任，决定降价后该批次货物的价格。如乙方对甲方单方确定的降价价格书面表示不同意的，甲方有权将该批次产品作退货处理。</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9.1.4</w:t>
      </w:r>
      <w:r>
        <w:rPr>
          <w:rFonts w:hint="eastAsia" w:asciiTheme="minorEastAsia" w:hAnsiTheme="minorEastAsia" w:eastAsiaTheme="minorEastAsia" w:cstheme="minorEastAsia"/>
          <w:b/>
          <w:color w:val="auto"/>
          <w:szCs w:val="21"/>
          <w:highlight w:val="none"/>
          <w:lang w:val="zh-TW"/>
        </w:rPr>
        <w:t>退货。</w:t>
      </w:r>
      <w:r>
        <w:rPr>
          <w:rFonts w:hint="eastAsia" w:asciiTheme="minorEastAsia" w:hAnsiTheme="minorEastAsia" w:eastAsiaTheme="minorEastAsia" w:cstheme="minorEastAsia"/>
          <w:color w:val="auto"/>
          <w:szCs w:val="21"/>
          <w:highlight w:val="none"/>
          <w:lang w:val="zh-TW"/>
        </w:rPr>
        <w:t>甲方有权要求将不符合合同约定的该批次产品或根据本合同其他约定确定退货的产品作退货处理，乙方应在甲方确定退货的书面通知后</w:t>
      </w:r>
      <w:r>
        <w:rPr>
          <w:rFonts w:hint="eastAsia" w:asciiTheme="minorEastAsia" w:hAnsiTheme="minorEastAsia" w:eastAsiaTheme="minorEastAsia" w:cstheme="minorEastAsia"/>
          <w:b/>
          <w:color w:val="auto"/>
          <w:szCs w:val="21"/>
          <w:highlight w:val="none"/>
          <w:lang w:val="zh-TW"/>
        </w:rPr>
        <w:t>3</w:t>
      </w:r>
      <w:r>
        <w:rPr>
          <w:rFonts w:hint="eastAsia" w:asciiTheme="minorEastAsia" w:hAnsiTheme="minorEastAsia" w:eastAsiaTheme="minorEastAsia" w:cstheme="minorEastAsia"/>
          <w:color w:val="auto"/>
          <w:szCs w:val="21"/>
          <w:highlight w:val="none"/>
          <w:lang w:val="zh-TW"/>
        </w:rPr>
        <w:t>个工作日内退还相应货款并一次性支付甲方相当于退货部分总价款的</w:t>
      </w:r>
      <w:r>
        <w:rPr>
          <w:rFonts w:hint="eastAsia" w:asciiTheme="minorEastAsia" w:hAnsiTheme="minorEastAsia" w:eastAsiaTheme="minorEastAsia" w:cstheme="minorEastAsia"/>
          <w:b/>
          <w:color w:val="auto"/>
          <w:szCs w:val="21"/>
          <w:highlight w:val="none"/>
        </w:rPr>
        <w:t>20</w:t>
      </w:r>
      <w:r>
        <w:rPr>
          <w:rFonts w:hint="eastAsia" w:asciiTheme="minorEastAsia" w:hAnsiTheme="minorEastAsia" w:eastAsiaTheme="minorEastAsia" w:cstheme="minorEastAsia"/>
          <w:b/>
          <w:color w:val="auto"/>
          <w:szCs w:val="21"/>
          <w:highlight w:val="none"/>
          <w:lang w:val="zh-CN"/>
        </w:rPr>
        <w:t>%</w:t>
      </w:r>
      <w:r>
        <w:rPr>
          <w:rFonts w:hint="eastAsia" w:asciiTheme="minorEastAsia" w:hAnsiTheme="minorEastAsia" w:eastAsiaTheme="minorEastAsia" w:cstheme="minorEastAsia"/>
          <w:color w:val="auto"/>
          <w:szCs w:val="21"/>
          <w:highlight w:val="none"/>
          <w:lang w:val="zh-TW"/>
        </w:rPr>
        <w:t>的违约金，</w:t>
      </w:r>
      <w:r>
        <w:rPr>
          <w:rFonts w:hint="eastAsia" w:asciiTheme="minorEastAsia" w:hAnsiTheme="minorEastAsia" w:eastAsiaTheme="minorEastAsia" w:cstheme="minorEastAsia"/>
          <w:color w:val="auto"/>
          <w:szCs w:val="21"/>
          <w:highlight w:val="none"/>
          <w:lang w:val="zh-CN"/>
        </w:rPr>
        <w:t>甲方收到乙方退货款后，乙方方可自负费用将退货取回。作退货处理的货物，乙方不得在作修理或修补后再次向甲方交货。</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.1.5</w:t>
      </w:r>
      <w:r>
        <w:rPr>
          <w:rFonts w:hint="eastAsia" w:asciiTheme="minorEastAsia" w:hAnsiTheme="minorEastAsia" w:eastAsiaTheme="minorEastAsia" w:cstheme="minorEastAsia"/>
          <w:b/>
          <w:color w:val="auto"/>
          <w:szCs w:val="21"/>
          <w:highlight w:val="none"/>
          <w:lang w:val="zh-TW"/>
        </w:rPr>
        <w:t>解除合同。</w:t>
      </w:r>
      <w:r>
        <w:rPr>
          <w:rFonts w:hint="eastAsia" w:asciiTheme="minorEastAsia" w:hAnsiTheme="minorEastAsia" w:eastAsiaTheme="minorEastAsia" w:cstheme="minorEastAsia"/>
          <w:color w:val="auto"/>
          <w:szCs w:val="21"/>
          <w:highlight w:val="none"/>
          <w:lang w:val="zh-TW"/>
        </w:rPr>
        <w:t>乙方未在甲方要求的期限内补交、更换及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zh-TW"/>
        </w:rPr>
        <w:t>或修理，或乙方交付的全部产品不符合本合同要求及存在其他严重违约情形的的，甲方有权部分或全部终止合同，乙方应退还全部已支付货款并一次性支付甲方相当于本合同预估总价款的</w:t>
      </w:r>
      <w:r>
        <w:rPr>
          <w:rFonts w:hint="eastAsia" w:asciiTheme="minorEastAsia" w:hAnsiTheme="minorEastAsia" w:eastAsiaTheme="minorEastAsia" w:cstheme="minorEastAsia"/>
          <w:b/>
          <w:color w:val="auto"/>
          <w:szCs w:val="21"/>
          <w:highlight w:val="none"/>
        </w:rPr>
        <w:t>20</w:t>
      </w:r>
      <w:r>
        <w:rPr>
          <w:rFonts w:hint="eastAsia" w:asciiTheme="minorEastAsia" w:hAnsiTheme="minorEastAsia" w:eastAsiaTheme="minorEastAsia" w:cstheme="minorEastAsia"/>
          <w:b/>
          <w:color w:val="auto"/>
          <w:szCs w:val="21"/>
          <w:highlight w:val="none"/>
          <w:lang w:val="zh-CN"/>
        </w:rPr>
        <w:t>%</w:t>
      </w:r>
      <w:r>
        <w:rPr>
          <w:rFonts w:hint="eastAsia" w:asciiTheme="minorEastAsia" w:hAnsiTheme="minorEastAsia" w:eastAsiaTheme="minorEastAsia" w:cstheme="minorEastAsia"/>
          <w:color w:val="auto"/>
          <w:szCs w:val="21"/>
          <w:highlight w:val="none"/>
          <w:lang w:val="zh-TW"/>
        </w:rPr>
        <w:t>的违约金，并由乙方赔偿由此造成的损失及承担甲方因此产生的对第三方的责任。上述任何一种情形下，甲方为采取必要的补救措施及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zh-TW"/>
        </w:rPr>
        <w:t>或因防止损失扩大而支出的合理费用应由乙方承担。</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.2</w:t>
      </w:r>
      <w:r>
        <w:rPr>
          <w:rFonts w:hint="eastAsia" w:asciiTheme="minorEastAsia" w:hAnsiTheme="minorEastAsia" w:eastAsiaTheme="minorEastAsia" w:cstheme="minorEastAsia"/>
          <w:color w:val="auto"/>
          <w:szCs w:val="21"/>
          <w:highlight w:val="none"/>
          <w:lang w:val="zh-TW"/>
        </w:rPr>
        <w:t xml:space="preserve"> 乙方应当在收到甲方的违约通知书之日起</w:t>
      </w:r>
      <w:r>
        <w:rPr>
          <w:rFonts w:hint="eastAsia" w:asciiTheme="minorEastAsia" w:hAnsiTheme="minorEastAsia" w:eastAsiaTheme="minorEastAsia" w:cstheme="minorEastAsia"/>
          <w:color w:val="auto"/>
          <w:szCs w:val="21"/>
          <w:highlight w:val="none"/>
        </w:rPr>
        <w:t>【 】</w:t>
      </w:r>
      <w:r>
        <w:rPr>
          <w:rFonts w:hint="eastAsia" w:asciiTheme="minorEastAsia" w:hAnsiTheme="minorEastAsia" w:eastAsiaTheme="minorEastAsia" w:cstheme="minorEastAsia"/>
          <w:color w:val="auto"/>
          <w:szCs w:val="21"/>
          <w:highlight w:val="none"/>
          <w:lang w:val="zh-TW"/>
        </w:rPr>
        <w:t>日内应按照甲方选择的方式承担违约责任，且甲方有权直接从尚未支付的合同价款中扣留相当于甲方选择的方式计算的索赔金额。若这些应付款不足以补偿，乙方还应当就不足部分进行补足。</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9.3</w:t>
      </w:r>
      <w:r>
        <w:rPr>
          <w:rFonts w:hint="eastAsia" w:asciiTheme="minorEastAsia" w:hAnsiTheme="minorEastAsia" w:eastAsiaTheme="minorEastAsia" w:cstheme="minorEastAsia"/>
          <w:color w:val="auto"/>
          <w:szCs w:val="21"/>
          <w:highlight w:val="none"/>
          <w:lang w:val="zh-TW"/>
        </w:rPr>
        <w:t>如乙方逾期交付（含更换、补交导致的逾期交付），每逾期一天，乙方应按逾期部分相应的合同价款为基数，按照每天</w:t>
      </w:r>
      <w:r>
        <w:rPr>
          <w:rFonts w:hint="eastAsia" w:asciiTheme="minorEastAsia" w:hAnsiTheme="minorEastAsia" w:eastAsiaTheme="minorEastAsia" w:cstheme="minorEastAsia"/>
          <w:b/>
          <w:color w:val="auto"/>
          <w:szCs w:val="21"/>
          <w:highlight w:val="none"/>
          <w:lang w:val="zh-TW"/>
        </w:rPr>
        <w:t>万分之五</w:t>
      </w:r>
      <w:r>
        <w:rPr>
          <w:rFonts w:hint="eastAsia" w:asciiTheme="minorEastAsia" w:hAnsiTheme="minorEastAsia" w:eastAsiaTheme="minorEastAsia" w:cstheme="minorEastAsia"/>
          <w:color w:val="auto"/>
          <w:szCs w:val="21"/>
          <w:highlight w:val="none"/>
          <w:lang w:val="zh-TW"/>
        </w:rPr>
        <w:t xml:space="preserve">的比例向甲方支付违约金，但该违约金累计不超过合同预估总金额的 </w:t>
      </w:r>
      <w:r>
        <w:rPr>
          <w:rFonts w:hint="eastAsia" w:asciiTheme="minorEastAsia" w:hAnsiTheme="minorEastAsia" w:eastAsiaTheme="minorEastAsia" w:cstheme="minorEastAsia"/>
          <w:b/>
          <w:color w:val="auto"/>
          <w:szCs w:val="21"/>
          <w:highlight w:val="none"/>
        </w:rPr>
        <w:t>20%</w:t>
      </w:r>
      <w:r>
        <w:rPr>
          <w:rFonts w:hint="eastAsia" w:asciiTheme="minorEastAsia" w:hAnsiTheme="minorEastAsia" w:eastAsiaTheme="minorEastAsia" w:cstheme="minorEastAsia"/>
          <w:color w:val="auto"/>
          <w:szCs w:val="21"/>
          <w:highlight w:val="none"/>
          <w:lang w:val="zh-TW"/>
        </w:rPr>
        <w:t>。</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9.4</w:t>
      </w:r>
      <w:r>
        <w:rPr>
          <w:rFonts w:hint="eastAsia" w:asciiTheme="minorEastAsia" w:hAnsiTheme="minorEastAsia" w:eastAsiaTheme="minorEastAsia" w:cstheme="minorEastAsia"/>
          <w:color w:val="auto"/>
          <w:szCs w:val="21"/>
          <w:highlight w:val="none"/>
          <w:lang w:val="zh-TW"/>
        </w:rPr>
        <w:t>如任何一方无故解除合同，应向对方支付相等于履约保证金</w:t>
      </w:r>
      <w:r>
        <w:rPr>
          <w:rFonts w:hint="eastAsia" w:asciiTheme="minorEastAsia" w:hAnsiTheme="minorEastAsia" w:eastAsiaTheme="minorEastAsia" w:cstheme="minorEastAsia"/>
          <w:b/>
          <w:color w:val="auto"/>
          <w:szCs w:val="21"/>
          <w:highlight w:val="none"/>
          <w:lang w:val="zh-TW"/>
        </w:rPr>
        <w:t>两倍</w:t>
      </w:r>
      <w:r>
        <w:rPr>
          <w:rFonts w:hint="eastAsia" w:asciiTheme="minorEastAsia" w:hAnsiTheme="minorEastAsia" w:eastAsiaTheme="minorEastAsia" w:cstheme="minorEastAsia"/>
          <w:color w:val="auto"/>
          <w:szCs w:val="21"/>
          <w:highlight w:val="none"/>
          <w:lang w:val="zh-TW"/>
        </w:rPr>
        <w:t>的违约金。</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.5</w:t>
      </w:r>
      <w:r>
        <w:rPr>
          <w:rFonts w:hint="eastAsia" w:asciiTheme="minorEastAsia" w:hAnsiTheme="minorEastAsia" w:eastAsiaTheme="minorEastAsia" w:cstheme="minorEastAsia"/>
          <w:color w:val="auto"/>
          <w:szCs w:val="21"/>
          <w:highlight w:val="none"/>
          <w:lang w:val="zh-TW"/>
        </w:rPr>
        <w:t>如乙方有违反本合同规定的其他情形（包括但不限于未按约提供安装、调试、试运行、培训等服务和质保期内售后服务以及其他合同伴随服务；违反知识产权和保密条款等）均属于违约行为，违约方应就每一单项违约向对方支付相等于履约保证金的违约金。若违约给甲方造成损失超过违约金的，乙方还应当赔偿不足部分。</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.6</w:t>
      </w:r>
      <w:r>
        <w:rPr>
          <w:rFonts w:hint="eastAsia" w:asciiTheme="minorEastAsia" w:hAnsiTheme="minorEastAsia" w:eastAsiaTheme="minorEastAsia" w:cstheme="minorEastAsia"/>
          <w:color w:val="auto"/>
          <w:szCs w:val="21"/>
          <w:highlight w:val="none"/>
          <w:lang w:val="zh-TW"/>
        </w:rPr>
        <w:t>若产品为假冒伪劣产品，乙方还应按照相应订单总金额的</w:t>
      </w:r>
      <w:r>
        <w:rPr>
          <w:rFonts w:hint="eastAsia" w:asciiTheme="minorEastAsia" w:hAnsiTheme="minorEastAsia" w:eastAsiaTheme="minorEastAsia" w:cstheme="minorEastAsia"/>
          <w:b/>
          <w:color w:val="auto"/>
          <w:szCs w:val="21"/>
          <w:highlight w:val="none"/>
        </w:rPr>
        <w:t>2</w:t>
      </w:r>
      <w:r>
        <w:rPr>
          <w:rFonts w:hint="eastAsia" w:asciiTheme="minorEastAsia" w:hAnsiTheme="minorEastAsia" w:eastAsiaTheme="minorEastAsia" w:cstheme="minorEastAsia"/>
          <w:b/>
          <w:color w:val="auto"/>
          <w:szCs w:val="21"/>
          <w:highlight w:val="none"/>
          <w:lang w:val="zh-TW"/>
        </w:rPr>
        <w:t>倍</w:t>
      </w:r>
      <w:r>
        <w:rPr>
          <w:rFonts w:hint="eastAsia" w:asciiTheme="minorEastAsia" w:hAnsiTheme="minorEastAsia" w:eastAsiaTheme="minorEastAsia" w:cstheme="minorEastAsia"/>
          <w:color w:val="auto"/>
          <w:szCs w:val="21"/>
          <w:highlight w:val="none"/>
          <w:lang w:val="zh-TW"/>
        </w:rPr>
        <w:t>向甲方支付惩罚性赔偿金，若因假冒伪劣产品给甲方造成损失的，且上述赔偿未达到造成损失的</w:t>
      </w: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val="zh-TW"/>
        </w:rPr>
        <w:t>倍，则乙方应当支付给甲方造成损失的</w:t>
      </w:r>
      <w:r>
        <w:rPr>
          <w:rFonts w:hint="eastAsia" w:asciiTheme="minorEastAsia" w:hAnsiTheme="minorEastAsia" w:eastAsiaTheme="minorEastAsia" w:cstheme="minorEastAsia"/>
          <w:b/>
          <w:color w:val="auto"/>
          <w:szCs w:val="21"/>
          <w:highlight w:val="none"/>
        </w:rPr>
        <w:t>2</w:t>
      </w:r>
      <w:r>
        <w:rPr>
          <w:rFonts w:hint="eastAsia" w:asciiTheme="minorEastAsia" w:hAnsiTheme="minorEastAsia" w:eastAsiaTheme="minorEastAsia" w:cstheme="minorEastAsia"/>
          <w:b/>
          <w:color w:val="auto"/>
          <w:szCs w:val="21"/>
          <w:highlight w:val="none"/>
          <w:lang w:val="zh-TW"/>
        </w:rPr>
        <w:t>倍</w:t>
      </w:r>
      <w:r>
        <w:rPr>
          <w:rFonts w:hint="eastAsia" w:asciiTheme="minorEastAsia" w:hAnsiTheme="minorEastAsia" w:eastAsiaTheme="minorEastAsia" w:cstheme="minorEastAsia"/>
          <w:color w:val="auto"/>
          <w:szCs w:val="21"/>
          <w:highlight w:val="none"/>
          <w:lang w:val="zh-TW"/>
        </w:rPr>
        <w:t>的惩罚性赔偿金，且并不当然免除其依法应受的其它处罚。</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9.7</w:t>
      </w:r>
      <w:r>
        <w:rPr>
          <w:rFonts w:hint="eastAsia" w:asciiTheme="minorEastAsia" w:hAnsiTheme="minorEastAsia" w:eastAsiaTheme="minorEastAsia" w:cstheme="minorEastAsia"/>
          <w:color w:val="auto"/>
          <w:szCs w:val="21"/>
          <w:highlight w:val="none"/>
          <w:lang w:val="zh-TW"/>
        </w:rPr>
        <w:t>任何一方由于不可抗力原因不能按约履行合同时，应在不可抗力事件发生后</w:t>
      </w:r>
      <w:r>
        <w:rPr>
          <w:rFonts w:hint="eastAsia" w:asciiTheme="minorEastAsia" w:hAnsiTheme="minorEastAsia" w:eastAsiaTheme="minorEastAsia" w:cstheme="minorEastAsia"/>
          <w:color w:val="auto"/>
          <w:szCs w:val="21"/>
          <w:highlight w:val="none"/>
          <w:lang w:val="zh-CN"/>
        </w:rPr>
        <w:t>【 】</w:t>
      </w:r>
      <w:r>
        <w:rPr>
          <w:rFonts w:hint="eastAsia" w:asciiTheme="minorEastAsia" w:hAnsiTheme="minorEastAsia" w:eastAsiaTheme="minorEastAsia" w:cstheme="minorEastAsia"/>
          <w:color w:val="auto"/>
          <w:szCs w:val="21"/>
          <w:highlight w:val="none"/>
          <w:lang w:val="zh-TW"/>
        </w:rPr>
        <w:t>个小时内向对方通知遭受不可抗力的情况，以便对方采取相应的应对措施尽可能减轻损失。在取得有关机构的不可抗力证明或</w:t>
      </w:r>
      <w:r>
        <w:rPr>
          <w:rFonts w:hint="eastAsia" w:asciiTheme="minorEastAsia" w:hAnsiTheme="minorEastAsia" w:eastAsiaTheme="minorEastAsia" w:cstheme="minorEastAsia"/>
          <w:color w:val="auto"/>
          <w:szCs w:val="21"/>
          <w:highlight w:val="none"/>
          <w:lang w:val="zh-CN"/>
        </w:rPr>
        <w:t>对</w:t>
      </w:r>
      <w:r>
        <w:rPr>
          <w:rFonts w:hint="eastAsia" w:asciiTheme="minorEastAsia" w:hAnsiTheme="minorEastAsia" w:eastAsiaTheme="minorEastAsia" w:cstheme="minorEastAsia"/>
          <w:color w:val="auto"/>
          <w:szCs w:val="21"/>
          <w:highlight w:val="none"/>
          <w:lang w:val="zh-TW"/>
        </w:rPr>
        <w:t>方谅解并书面确认后，双方应当友好协商并根据具体情况允许延期履行、变更或终止合同，并根据情况可部分或全部免于承担违约责任。本合同所称不可抗力证明可包括政府有关部门、贸促会或商会出具的不可抗力事实证明书或可证明不可抗力事实的官方报纸或官方网络发布的信息</w:t>
      </w:r>
      <w:r>
        <w:rPr>
          <w:rFonts w:hint="eastAsia" w:asciiTheme="minorEastAsia" w:hAnsiTheme="minorEastAsia" w:eastAsiaTheme="minorEastAsia" w:cstheme="minorEastAsia"/>
          <w:color w:val="auto"/>
          <w:spacing w:val="15"/>
          <w:szCs w:val="21"/>
          <w:highlight w:val="none"/>
          <w:shd w:val="clear" w:color="auto" w:fill="FFFFFF"/>
        </w:rPr>
        <w:t>。</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color w:val="auto"/>
          <w:szCs w:val="21"/>
          <w:highlight w:val="none"/>
          <w:lang w:val="zh-TW" w:eastAsia="zh-TW"/>
        </w:rPr>
        <w:t>.8</w:t>
      </w:r>
      <w:r>
        <w:rPr>
          <w:rFonts w:hint="eastAsia" w:asciiTheme="minorEastAsia" w:hAnsiTheme="minorEastAsia" w:eastAsiaTheme="minorEastAsia" w:cstheme="minorEastAsia"/>
          <w:color w:val="auto"/>
          <w:szCs w:val="21"/>
          <w:highlight w:val="none"/>
          <w:lang w:val="zh-TW"/>
        </w:rPr>
        <w:t>乙方违约且拒不承担违约责任的，甲方为实现债权而发生的费用（包括但不限于诉讼费、律师费、差旅费、公证费、鉴定费、保全担保费等一切费用）应由乙方承担。</w:t>
      </w:r>
    </w:p>
    <w:p>
      <w:pPr>
        <w:spacing w:line="360" w:lineRule="auto"/>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9.9</w:t>
      </w:r>
      <w:r>
        <w:rPr>
          <w:rFonts w:hint="eastAsia" w:asciiTheme="minorEastAsia" w:hAnsiTheme="minorEastAsia" w:eastAsiaTheme="minorEastAsia" w:cstheme="minorEastAsia"/>
          <w:color w:val="auto"/>
          <w:szCs w:val="21"/>
          <w:highlight w:val="none"/>
        </w:rPr>
        <w:t>乙方违约的，甲方有权视其违约情形轻重程度单方决定将乙方列入甲方的不良信用记录名单。</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9.10</w:t>
      </w:r>
      <w:r>
        <w:rPr>
          <w:rFonts w:hint="eastAsia" w:asciiTheme="minorEastAsia" w:hAnsiTheme="minorEastAsia" w:eastAsiaTheme="minorEastAsia" w:cstheme="minorEastAsia"/>
          <w:color w:val="auto"/>
          <w:szCs w:val="21"/>
          <w:highlight w:val="none"/>
        </w:rPr>
        <w:t xml:space="preserve"> 双方同意，如因甲方机场局部功能调整等政策原因导致本合同全部或部分不能履行、延期履行或需要变更合同条款的，双方应通过友好协商，达成解除合同、延期履行或变更合同条款的协议。</w:t>
      </w:r>
    </w:p>
    <w:p>
      <w:pPr>
        <w:spacing w:line="360" w:lineRule="auto"/>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十、争议解决</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10.1</w:t>
      </w:r>
      <w:r>
        <w:rPr>
          <w:rFonts w:hint="eastAsia" w:asciiTheme="minorEastAsia" w:hAnsiTheme="minorEastAsia" w:eastAsiaTheme="minorEastAsia" w:cstheme="minorEastAsia"/>
          <w:color w:val="auto"/>
          <w:szCs w:val="21"/>
          <w:highlight w:val="none"/>
          <w:lang w:val="zh-TW"/>
        </w:rPr>
        <w:t>因本合同所引起的任何争议均适用中华人民共和国法律、法规、规章及规范性文件。</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10.2</w:t>
      </w:r>
      <w:r>
        <w:rPr>
          <w:rFonts w:hint="eastAsia" w:asciiTheme="minorEastAsia" w:hAnsiTheme="minorEastAsia" w:eastAsiaTheme="minorEastAsia" w:cstheme="minorEastAsia"/>
          <w:color w:val="auto"/>
          <w:szCs w:val="21"/>
          <w:highlight w:val="none"/>
          <w:lang w:val="zh-TW"/>
        </w:rPr>
        <w:t>因订立和履行本合同或与本合同有关的一切争议，甲、乙双方应首先友好协商解决，协商不成的，任何一方均可向甲方所在地人民法院提起诉讼。</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10.3</w:t>
      </w:r>
      <w:r>
        <w:rPr>
          <w:rFonts w:hint="eastAsia" w:asciiTheme="minorEastAsia" w:hAnsiTheme="minorEastAsia" w:eastAsiaTheme="minorEastAsia" w:cstheme="minorEastAsia"/>
          <w:color w:val="auto"/>
          <w:szCs w:val="21"/>
          <w:highlight w:val="none"/>
          <w:lang w:val="zh-TW"/>
        </w:rPr>
        <w:t>在诉讼期间，除正在进行诉讼的部分外，本合同其他部分应继续执行。</w:t>
      </w:r>
    </w:p>
    <w:p>
      <w:pPr>
        <w:spacing w:before="156" w:line="360" w:lineRule="auto"/>
        <w:ind w:left="420" w:left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十一、合同组成及解释顺序</w:t>
      </w:r>
    </w:p>
    <w:p>
      <w:pPr>
        <w:spacing w:before="156"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zh-TW"/>
        </w:rPr>
        <w:t>以下文件构成本合同的组成部分，合同与招投标文件（如有）不一致解释顺序如下：</w:t>
      </w:r>
      <w:r>
        <w:rPr>
          <w:rFonts w:hint="eastAsia" w:asciiTheme="minorEastAsia" w:hAnsiTheme="minorEastAsia" w:eastAsiaTheme="minorEastAsia" w:cstheme="minorEastAsia"/>
          <w:color w:val="auto"/>
          <w:szCs w:val="21"/>
          <w:highlight w:val="none"/>
        </w:rPr>
        <w:t>（1）本合同协议书及其附件以及任何变更或补充协议；（2）中标通知书；（3）投标文件及其附件；（4）招标文件；（5）标准、规范及有关技术文件。</w:t>
      </w:r>
    </w:p>
    <w:p>
      <w:pPr>
        <w:pStyle w:val="2"/>
        <w:spacing w:line="360" w:lineRule="auto"/>
        <w:ind w:firstLine="422"/>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十二、通知</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12.1</w:t>
      </w:r>
      <w:r>
        <w:rPr>
          <w:rFonts w:hint="eastAsia" w:asciiTheme="minorEastAsia" w:hAnsiTheme="minorEastAsia" w:eastAsiaTheme="minorEastAsia" w:cstheme="minorEastAsia"/>
          <w:color w:val="auto"/>
          <w:szCs w:val="21"/>
          <w:highlight w:val="none"/>
        </w:rPr>
        <w:t>除一般日常电话沟通外，通知应采用书面方式。本合同所指书面方式，包括快递、面呈、电子邮件、微信、QQ等书面通知方式。</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12.2</w:t>
      </w:r>
      <w:r>
        <w:rPr>
          <w:rFonts w:hint="eastAsia" w:asciiTheme="minorEastAsia" w:hAnsiTheme="minorEastAsia" w:eastAsiaTheme="minorEastAsia" w:cstheme="minorEastAsia"/>
          <w:color w:val="auto"/>
          <w:szCs w:val="21"/>
          <w:highlight w:val="none"/>
        </w:rPr>
        <w:t>面呈的通知在被通知人签收时视为送达。以电子邮件、微信、QQ方式发出的通知，发出后即视为送达。以邮寄方式发出的通知均应采用具可靠声誉的快递公司之快递（如DHL快递、EMS和顺丰速运）的方式进行，并在投寄后的第三个工作日视为送达。</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发送至甲方：</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电子邮件：【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收件人：【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联系电话：【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发送至乙方：</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电子邮件：【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收件人：【 】</w:t>
      </w:r>
    </w:p>
    <w:p>
      <w:pPr>
        <w:snapToGrid w:val="0"/>
        <w:spacing w:line="360" w:lineRule="auto"/>
        <w:ind w:firstLine="420" w:firstLineChars="200"/>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联系电话：【 】</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12.3</w:t>
      </w:r>
      <w:r>
        <w:rPr>
          <w:rFonts w:hint="eastAsia" w:asciiTheme="minorEastAsia" w:hAnsiTheme="minorEastAsia" w:eastAsiaTheme="minorEastAsia" w:cstheme="minorEastAsia"/>
          <w:color w:val="auto"/>
          <w:szCs w:val="21"/>
          <w:highlight w:val="none"/>
        </w:rPr>
        <w:t>本合同所记载任何一方的通讯地址或联系方式发生变更，应当在该变更发生后的三个工作日内书面通知另一方，未按约定及时书面通知的一方，应承担由此造成的损失。</w:t>
      </w:r>
    </w:p>
    <w:p>
      <w:pPr>
        <w:pStyle w:val="2"/>
        <w:spacing w:line="360" w:lineRule="auto"/>
        <w:ind w:firstLine="422"/>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12.4</w:t>
      </w:r>
      <w:r>
        <w:rPr>
          <w:rFonts w:hint="eastAsia" w:asciiTheme="minorEastAsia" w:hAnsiTheme="minorEastAsia" w:eastAsiaTheme="minorEastAsia" w:cstheme="minorEastAsia"/>
          <w:color w:val="auto"/>
          <w:szCs w:val="21"/>
          <w:highlight w:val="none"/>
        </w:rPr>
        <w:t xml:space="preserve"> 本合同所记载的对方联系地址或经对方书面通知变更的地址，可作为邮寄送达催告函、律师函、对账单、法院送达诉讼文书等文件、文书的合法地址，并在投寄后的第三个工作日视为送达。</w:t>
      </w:r>
    </w:p>
    <w:p>
      <w:pPr>
        <w:adjustRightInd w:val="0"/>
        <w:snapToGrid w:val="0"/>
        <w:spacing w:line="360" w:lineRule="auto"/>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十三、合同生效及其它</w:t>
      </w:r>
    </w:p>
    <w:p>
      <w:pPr>
        <w:spacing w:line="360" w:lineRule="auto"/>
        <w:ind w:firstLine="422"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color w:val="auto"/>
          <w:szCs w:val="21"/>
          <w:highlight w:val="none"/>
        </w:rPr>
        <w:t>13.1</w:t>
      </w:r>
      <w:r>
        <w:rPr>
          <w:rFonts w:hint="eastAsia" w:asciiTheme="minorEastAsia" w:hAnsiTheme="minorEastAsia" w:eastAsiaTheme="minorEastAsia" w:cstheme="minorEastAsia"/>
          <w:color w:val="auto"/>
          <w:szCs w:val="21"/>
          <w:highlight w:val="none"/>
          <w:lang w:val="zh-TW"/>
        </w:rPr>
        <w:t xml:space="preserve">乙方不得将本合同全部或部分权利、义务转让给任何第三方，否则甲方有权解除合同，并要求乙方支付相当于本合同预估总价的 </w:t>
      </w:r>
      <w:r>
        <w:rPr>
          <w:rFonts w:hint="eastAsia" w:asciiTheme="minorEastAsia" w:hAnsiTheme="minorEastAsia" w:eastAsiaTheme="minorEastAsia" w:cstheme="minorEastAsia"/>
          <w:color w:val="auto"/>
          <w:szCs w:val="21"/>
          <w:highlight w:val="none"/>
          <w:lang w:val="zh-CN"/>
        </w:rPr>
        <w:t>【</w:t>
      </w:r>
      <w:r>
        <w:rPr>
          <w:rFonts w:hint="eastAsia" w:asciiTheme="minorEastAsia" w:hAnsiTheme="minorEastAsia" w:eastAsiaTheme="minorEastAsia" w:cstheme="minorEastAsia"/>
          <w:color w:val="auto"/>
          <w:szCs w:val="21"/>
          <w:highlight w:val="none"/>
          <w:lang w:val="zh-TW"/>
        </w:rPr>
        <w:t>20%</w:t>
      </w:r>
      <w:r>
        <w:rPr>
          <w:rFonts w:hint="eastAsia" w:asciiTheme="minorEastAsia" w:hAnsiTheme="minorEastAsia" w:eastAsiaTheme="minorEastAsia" w:cstheme="minorEastAsia"/>
          <w:color w:val="auto"/>
          <w:szCs w:val="21"/>
          <w:highlight w:val="none"/>
          <w:lang w:val="zh-CN"/>
        </w:rPr>
        <w:t>】</w:t>
      </w:r>
      <w:r>
        <w:rPr>
          <w:rFonts w:hint="eastAsia" w:asciiTheme="minorEastAsia" w:hAnsiTheme="minorEastAsia" w:eastAsiaTheme="minorEastAsia" w:cstheme="minorEastAsia"/>
          <w:color w:val="auto"/>
          <w:szCs w:val="21"/>
          <w:highlight w:val="none"/>
          <w:lang w:val="zh-TW"/>
        </w:rPr>
        <w:t>的违约金。</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13.2</w:t>
      </w:r>
      <w:r>
        <w:rPr>
          <w:rFonts w:hint="eastAsia" w:asciiTheme="minorEastAsia" w:hAnsiTheme="minorEastAsia" w:eastAsiaTheme="minorEastAsia" w:cstheme="minorEastAsia"/>
          <w:color w:val="auto"/>
          <w:szCs w:val="21"/>
          <w:highlight w:val="none"/>
          <w:lang w:val="zh-TW"/>
        </w:rPr>
        <w:t>任何一方没有行使其权利或没有就违约方的违约行为采取任何行动，不应被视为是对其权利的放弃或对追究另一方违约责任权利的放弃，但行使权利超过法定诉讼时效或除斥期间的除外。任何一方放弃针对违约方的某种权利，或放弃追究违约方的某种责任，不应视为对其它权利或追究其它责任的放弃。</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rPr>
        <w:t>13.3</w:t>
      </w:r>
      <w:r>
        <w:rPr>
          <w:rFonts w:hint="eastAsia" w:asciiTheme="minorEastAsia" w:hAnsiTheme="minorEastAsia" w:eastAsiaTheme="minorEastAsia" w:cstheme="minorEastAsia"/>
          <w:color w:val="auto"/>
          <w:szCs w:val="21"/>
          <w:highlight w:val="none"/>
          <w:lang w:val="zh-TW"/>
        </w:rPr>
        <w:t>双方均应尽力在最大程度上将本合同及其条款理解和解释为合法、有效、适合履行、应当履行。若本合同部分条款依据现行有关法律、法规被确认为无效或无法履行，且该部分无效或无法履行的条款不影响本合同其它条款效力的，本合同其它条款继续有效；同时，双方应根据现行有关法律、法规、规章对该部分无效或无法履行的条款进行调整，使其成为有效条款或自动适用最为接近的法规并尽量符合本合同的本意和所体现的原则精神。</w:t>
      </w:r>
    </w:p>
    <w:p>
      <w:pPr>
        <w:pStyle w:val="2"/>
        <w:spacing w:line="360" w:lineRule="auto"/>
        <w:ind w:firstLine="422"/>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lang w:val="zh-TW" w:eastAsia="zh-TW"/>
        </w:rPr>
        <w:t>1</w:t>
      </w: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b/>
          <w:color w:val="auto"/>
          <w:szCs w:val="21"/>
          <w:highlight w:val="none"/>
          <w:lang w:val="zh-TW" w:eastAsia="zh-TW"/>
        </w:rPr>
        <w:t>.4</w:t>
      </w:r>
      <w:r>
        <w:rPr>
          <w:rFonts w:hint="eastAsia" w:asciiTheme="minorEastAsia" w:hAnsiTheme="minorEastAsia" w:eastAsiaTheme="minorEastAsia" w:cstheme="minorEastAsia"/>
          <w:color w:val="auto"/>
          <w:szCs w:val="21"/>
          <w:highlight w:val="none"/>
          <w:lang w:val="zh-TW"/>
        </w:rPr>
        <w:t xml:space="preserve"> 本合同及其附件构成双方之间就本合同事项的完整理解和协议，并取代双方此前以口头或书面形式就与本合同有关事项形成的任何协议、文件、许诺、谅解、洽谈和通讯，但其中包括的保密条款除外。</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lang w:val="zh-TW" w:eastAsia="zh-TW"/>
        </w:rPr>
        <w:t>1</w:t>
      </w: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b/>
          <w:color w:val="auto"/>
          <w:szCs w:val="21"/>
          <w:highlight w:val="none"/>
          <w:lang w:val="zh-TW" w:eastAsia="zh-TW"/>
        </w:rPr>
        <w:t>.5</w:t>
      </w:r>
      <w:r>
        <w:rPr>
          <w:rFonts w:hint="eastAsia" w:asciiTheme="minorEastAsia" w:hAnsiTheme="minorEastAsia" w:eastAsiaTheme="minorEastAsia" w:cstheme="minorEastAsia"/>
          <w:color w:val="auto"/>
          <w:szCs w:val="21"/>
          <w:highlight w:val="none"/>
          <w:lang w:val="zh-TW"/>
        </w:rPr>
        <w:t>本合同约定的任何一方权利、义务变更、补充，均须经双方双方法人</w:t>
      </w:r>
      <w:r>
        <w:rPr>
          <w:rFonts w:hint="eastAsia" w:asciiTheme="minorEastAsia" w:hAnsiTheme="minorEastAsia" w:eastAsiaTheme="minorEastAsia" w:cstheme="minorEastAsia"/>
          <w:color w:val="auto"/>
          <w:szCs w:val="21"/>
          <w:highlight w:val="none"/>
          <w:lang w:val="zh-CN"/>
        </w:rPr>
        <w:t>代表</w:t>
      </w:r>
      <w:r>
        <w:rPr>
          <w:rFonts w:hint="eastAsia" w:asciiTheme="minorEastAsia" w:hAnsiTheme="minorEastAsia" w:eastAsiaTheme="minorEastAsia" w:cstheme="minorEastAsia"/>
          <w:color w:val="auto"/>
          <w:szCs w:val="21"/>
          <w:highlight w:val="none"/>
          <w:lang w:val="zh-TW"/>
        </w:rPr>
        <w:t>或授权代表签字并盖章后始生效。</w:t>
      </w:r>
    </w:p>
    <w:p>
      <w:pPr>
        <w:spacing w:line="360" w:lineRule="auto"/>
        <w:ind w:firstLine="422" w:firstLineChars="200"/>
        <w:rPr>
          <w:rFonts w:asciiTheme="minorEastAsia" w:hAnsiTheme="minorEastAsia" w:eastAsiaTheme="minorEastAsia" w:cstheme="minorEastAsia"/>
          <w:color w:val="auto"/>
          <w:szCs w:val="21"/>
          <w:highlight w:val="none"/>
          <w:lang w:val="zh-TW"/>
        </w:rPr>
      </w:pPr>
      <w:r>
        <w:rPr>
          <w:rFonts w:hint="eastAsia" w:asciiTheme="minorEastAsia" w:hAnsiTheme="minorEastAsia" w:eastAsiaTheme="minorEastAsia" w:cstheme="minorEastAsia"/>
          <w:b/>
          <w:color w:val="auto"/>
          <w:szCs w:val="21"/>
          <w:highlight w:val="none"/>
          <w:lang w:val="zh-TW" w:eastAsia="zh-TW"/>
        </w:rPr>
        <w:t>1</w:t>
      </w: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b/>
          <w:color w:val="auto"/>
          <w:szCs w:val="21"/>
          <w:highlight w:val="none"/>
          <w:lang w:val="zh-TW" w:eastAsia="zh-TW"/>
        </w:rPr>
        <w:t>.6</w:t>
      </w:r>
      <w:r>
        <w:rPr>
          <w:rFonts w:hint="eastAsia" w:asciiTheme="minorEastAsia" w:hAnsiTheme="minorEastAsia" w:eastAsiaTheme="minorEastAsia" w:cstheme="minorEastAsia"/>
          <w:color w:val="auto"/>
          <w:szCs w:val="21"/>
          <w:highlight w:val="none"/>
          <w:lang w:val="zh-TW"/>
        </w:rPr>
        <w:t>本合同一式【 】份，甲方执【 】份，乙方执【 】份，具有同等法律效力。</w:t>
      </w:r>
    </w:p>
    <w:p>
      <w:pPr>
        <w:spacing w:line="360" w:lineRule="auto"/>
        <w:ind w:firstLine="422"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lang w:val="zh-TW" w:eastAsia="zh-TW"/>
        </w:rPr>
        <w:t>1</w:t>
      </w:r>
      <w:r>
        <w:rPr>
          <w:rFonts w:hint="eastAsia" w:asciiTheme="minorEastAsia" w:hAnsiTheme="minorEastAsia" w:eastAsiaTheme="minorEastAsia" w:cstheme="minorEastAsia"/>
          <w:b/>
          <w:color w:val="auto"/>
          <w:szCs w:val="21"/>
          <w:highlight w:val="none"/>
        </w:rPr>
        <w:t>3</w:t>
      </w:r>
      <w:r>
        <w:rPr>
          <w:rFonts w:hint="eastAsia" w:asciiTheme="minorEastAsia" w:hAnsiTheme="minorEastAsia" w:eastAsiaTheme="minorEastAsia" w:cstheme="minorEastAsia"/>
          <w:b/>
          <w:color w:val="auto"/>
          <w:szCs w:val="21"/>
          <w:highlight w:val="none"/>
          <w:lang w:val="zh-TW" w:eastAsia="zh-TW"/>
        </w:rPr>
        <w:t>.7</w:t>
      </w:r>
      <w:r>
        <w:rPr>
          <w:rFonts w:hint="eastAsia" w:asciiTheme="minorEastAsia" w:hAnsiTheme="minorEastAsia" w:eastAsiaTheme="minorEastAsia" w:cstheme="minorEastAsia"/>
          <w:color w:val="auto"/>
          <w:szCs w:val="21"/>
          <w:highlight w:val="none"/>
          <w:lang w:val="zh-TW"/>
        </w:rPr>
        <w:t>本合同自双方法定代表人或授权代表签字（包含签章）并加盖单位公章或合同章之日起生效。</w:t>
      </w:r>
    </w:p>
    <w:p>
      <w:pPr>
        <w:spacing w:before="156" w:line="360" w:lineRule="auto"/>
        <w:ind w:left="359" w:hanging="359"/>
        <w:rPr>
          <w:rFonts w:asciiTheme="minorEastAsia" w:hAnsiTheme="minorEastAsia" w:eastAsiaTheme="minorEastAsia" w:cstheme="minorEastAsia"/>
          <w:color w:val="auto"/>
          <w:szCs w:val="21"/>
          <w:highlight w:val="none"/>
          <w:lang w:val="zh-TW"/>
        </w:rPr>
      </w:pPr>
    </w:p>
    <w:p>
      <w:pPr>
        <w:spacing w:line="360" w:lineRule="auto"/>
        <w:ind w:left="5966" w:hanging="5966" w:hangingChars="2841"/>
        <w:textAlignment w:val="baseline"/>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甲方（盖章）：                          乙方（盖章）：</w:t>
      </w:r>
    </w:p>
    <w:p>
      <w:pPr>
        <w:spacing w:line="360" w:lineRule="auto"/>
        <w:ind w:left="5966" w:hanging="5966" w:hangingChars="2841"/>
        <w:textAlignment w:val="baseline"/>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pPr>
        <w:spacing w:line="360" w:lineRule="auto"/>
        <w:ind w:left="5966" w:hanging="5966" w:hangingChars="2841"/>
        <w:textAlignment w:val="baseline"/>
        <w:rPr>
          <w:rFonts w:hint="eastAsia" w:asciiTheme="minorEastAsia" w:hAnsiTheme="minorEastAsia" w:eastAsiaTheme="minorEastAsia" w:cstheme="minorEastAsia"/>
          <w:color w:val="auto"/>
          <w:szCs w:val="21"/>
          <w:highlight w:val="none"/>
        </w:rPr>
      </w:pPr>
    </w:p>
    <w:p>
      <w:pPr>
        <w:spacing w:line="360" w:lineRule="auto"/>
        <w:ind w:left="5966" w:hanging="5966" w:hangingChars="2841"/>
        <w:textAlignment w:val="baseline"/>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法定（或授权）代表人签字：              法定（或授权）代表人签字：         </w:t>
      </w: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p>
    <w:p>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签字日期：                              签字日期：</w:t>
      </w:r>
    </w:p>
    <w:p>
      <w:pPr>
        <w:widowControl/>
        <w:spacing w:line="360" w:lineRule="auto"/>
        <w:ind w:firstLine="723" w:firstLineChars="200"/>
        <w:jc w:val="center"/>
        <w:textAlignment w:val="baseline"/>
        <w:rPr>
          <w:rFonts w:hAnsi="宋体"/>
          <w:b/>
          <w:color w:val="auto"/>
          <w:sz w:val="36"/>
          <w:szCs w:val="36"/>
          <w:highlight w:val="none"/>
        </w:rPr>
      </w:pPr>
    </w:p>
    <w:p>
      <w:pPr>
        <w:widowControl/>
        <w:spacing w:line="360" w:lineRule="auto"/>
        <w:ind w:firstLine="723" w:firstLineChars="200"/>
        <w:jc w:val="center"/>
        <w:textAlignment w:val="baseline"/>
        <w:rPr>
          <w:rFonts w:hAnsi="宋体"/>
          <w:b/>
          <w:color w:val="auto"/>
          <w:sz w:val="36"/>
          <w:szCs w:val="36"/>
          <w:highlight w:val="none"/>
        </w:rPr>
      </w:pPr>
    </w:p>
    <w:p>
      <w:pPr>
        <w:widowControl/>
        <w:spacing w:line="360" w:lineRule="auto"/>
        <w:ind w:firstLine="723" w:firstLineChars="200"/>
        <w:jc w:val="center"/>
        <w:textAlignment w:val="baseline"/>
        <w:rPr>
          <w:rFonts w:hAnsi="宋体"/>
          <w:b/>
          <w:color w:val="auto"/>
          <w:sz w:val="36"/>
          <w:szCs w:val="36"/>
          <w:highlight w:val="none"/>
        </w:rPr>
      </w:pPr>
    </w:p>
    <w:p>
      <w:pPr>
        <w:pStyle w:val="2"/>
        <w:ind w:firstLine="723"/>
        <w:rPr>
          <w:rFonts w:hAnsi="宋体"/>
          <w:b/>
          <w:color w:val="auto"/>
          <w:sz w:val="36"/>
          <w:szCs w:val="36"/>
          <w:highlight w:val="none"/>
        </w:rPr>
      </w:pPr>
    </w:p>
    <w:p>
      <w:pPr>
        <w:pStyle w:val="2"/>
        <w:ind w:firstLine="723"/>
        <w:rPr>
          <w:rFonts w:hAnsi="宋体"/>
          <w:b/>
          <w:color w:val="auto"/>
          <w:sz w:val="36"/>
          <w:szCs w:val="36"/>
          <w:highlight w:val="none"/>
        </w:rPr>
      </w:pPr>
    </w:p>
    <w:p>
      <w:pPr>
        <w:pStyle w:val="2"/>
        <w:ind w:firstLine="723"/>
        <w:rPr>
          <w:rFonts w:hAnsi="宋体"/>
          <w:b/>
          <w:color w:val="auto"/>
          <w:sz w:val="36"/>
          <w:szCs w:val="36"/>
          <w:highlight w:val="none"/>
        </w:rPr>
      </w:pPr>
    </w:p>
    <w:p>
      <w:pPr>
        <w:pStyle w:val="2"/>
        <w:ind w:firstLine="723"/>
        <w:rPr>
          <w:rFonts w:hAnsi="宋体"/>
          <w:b/>
          <w:color w:val="auto"/>
          <w:sz w:val="36"/>
          <w:szCs w:val="36"/>
          <w:highlight w:val="none"/>
        </w:rPr>
      </w:pPr>
    </w:p>
    <w:p>
      <w:pPr>
        <w:pStyle w:val="2"/>
        <w:ind w:firstLine="723"/>
        <w:rPr>
          <w:rFonts w:hAnsi="宋体"/>
          <w:b/>
          <w:color w:val="auto"/>
          <w:sz w:val="36"/>
          <w:szCs w:val="36"/>
          <w:highlight w:val="none"/>
        </w:rPr>
      </w:pPr>
    </w:p>
    <w:p>
      <w:pPr>
        <w:pStyle w:val="2"/>
        <w:ind w:firstLine="723"/>
        <w:rPr>
          <w:rFonts w:hAnsi="宋体"/>
          <w:b/>
          <w:color w:val="auto"/>
          <w:sz w:val="36"/>
          <w:szCs w:val="36"/>
          <w:highlight w:val="none"/>
        </w:rPr>
      </w:pPr>
    </w:p>
    <w:p>
      <w:pPr>
        <w:pStyle w:val="2"/>
        <w:ind w:firstLine="723"/>
        <w:rPr>
          <w:rFonts w:hAnsi="宋体"/>
          <w:b/>
          <w:color w:val="auto"/>
          <w:sz w:val="36"/>
          <w:szCs w:val="36"/>
          <w:highlight w:val="none"/>
        </w:rPr>
      </w:pPr>
    </w:p>
    <w:p>
      <w:pPr>
        <w:widowControl/>
        <w:spacing w:line="360" w:lineRule="auto"/>
        <w:ind w:firstLine="723" w:firstLineChars="200"/>
        <w:jc w:val="center"/>
        <w:textAlignment w:val="baseline"/>
        <w:rPr>
          <w:rFonts w:hAnsi="宋体"/>
          <w:b/>
          <w:color w:val="auto"/>
          <w:sz w:val="36"/>
          <w:szCs w:val="36"/>
          <w:highlight w:val="none"/>
        </w:rPr>
      </w:pPr>
    </w:p>
    <w:p>
      <w:pPr>
        <w:widowControl/>
        <w:spacing w:line="360" w:lineRule="auto"/>
        <w:ind w:firstLine="723" w:firstLineChars="200"/>
        <w:jc w:val="center"/>
        <w:textAlignment w:val="baseline"/>
        <w:rPr>
          <w:color w:val="auto"/>
          <w:sz w:val="36"/>
          <w:szCs w:val="36"/>
          <w:highlight w:val="none"/>
        </w:rPr>
      </w:pPr>
      <w:r>
        <w:rPr>
          <w:rFonts w:hAnsi="宋体"/>
          <w:b/>
          <w:color w:val="auto"/>
          <w:sz w:val="36"/>
          <w:szCs w:val="36"/>
          <w:highlight w:val="none"/>
        </w:rPr>
        <w:t>第五章</w:t>
      </w:r>
      <w:r>
        <w:rPr>
          <w:b/>
          <w:color w:val="auto"/>
          <w:sz w:val="36"/>
          <w:szCs w:val="36"/>
          <w:highlight w:val="none"/>
        </w:rPr>
        <w:t xml:space="preserve">  </w:t>
      </w:r>
      <w:r>
        <w:rPr>
          <w:rFonts w:hAnsi="宋体"/>
          <w:b/>
          <w:color w:val="auto"/>
          <w:sz w:val="36"/>
          <w:szCs w:val="36"/>
          <w:highlight w:val="none"/>
        </w:rPr>
        <w:t>投标文件格式</w:t>
      </w: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spacing w:line="800" w:lineRule="exact"/>
        <w:jc w:val="center"/>
        <w:rPr>
          <w:b/>
          <w:color w:val="auto"/>
          <w:sz w:val="44"/>
          <w:szCs w:val="44"/>
          <w:highlight w:val="none"/>
        </w:rPr>
      </w:pPr>
    </w:p>
    <w:p>
      <w:pPr>
        <w:spacing w:line="800" w:lineRule="exact"/>
        <w:jc w:val="center"/>
        <w:rPr>
          <w:rFonts w:ascii="黑体" w:hAnsi="黑体" w:eastAsia="黑体" w:cs="黑体"/>
          <w:color w:val="auto"/>
          <w:sz w:val="44"/>
          <w:szCs w:val="44"/>
          <w:highlight w:val="none"/>
          <w:u w:val="single"/>
        </w:rPr>
      </w:pPr>
    </w:p>
    <w:p>
      <w:pPr>
        <w:spacing w:line="800" w:lineRule="exact"/>
        <w:jc w:val="center"/>
        <w:rPr>
          <w:rFonts w:ascii="黑体" w:hAnsi="黑体" w:eastAsia="黑体" w:cs="黑体"/>
          <w:color w:val="auto"/>
          <w:sz w:val="44"/>
          <w:szCs w:val="44"/>
          <w:highlight w:val="none"/>
          <w:u w:val="single"/>
        </w:rPr>
      </w:pPr>
    </w:p>
    <w:p>
      <w:pPr>
        <w:spacing w:line="800" w:lineRule="exact"/>
        <w:jc w:val="center"/>
        <w:rPr>
          <w:rFonts w:ascii="黑体" w:hAnsi="黑体" w:eastAsia="黑体" w:cs="黑体"/>
          <w:color w:val="auto"/>
          <w:sz w:val="44"/>
          <w:szCs w:val="44"/>
          <w:highlight w:val="none"/>
          <w:u w:val="single"/>
        </w:rPr>
      </w:pPr>
    </w:p>
    <w:p>
      <w:pPr>
        <w:spacing w:line="800" w:lineRule="exact"/>
        <w:jc w:val="center"/>
        <w:rPr>
          <w:b/>
          <w:color w:val="auto"/>
          <w:sz w:val="40"/>
          <w:szCs w:val="22"/>
          <w:highlight w:val="none"/>
        </w:rPr>
      </w:pPr>
      <w:r>
        <w:rPr>
          <w:rFonts w:hint="eastAsia" w:ascii="黑体" w:hAnsi="黑体" w:eastAsia="黑体" w:cs="黑体"/>
          <w:color w:val="auto"/>
          <w:sz w:val="40"/>
          <w:szCs w:val="40"/>
          <w:highlight w:val="none"/>
          <w:u w:val="single"/>
        </w:rPr>
        <w:t>（项目名称）</w:t>
      </w:r>
    </w:p>
    <w:p>
      <w:pPr>
        <w:autoSpaceDE w:val="0"/>
        <w:autoSpaceDN w:val="0"/>
        <w:spacing w:line="1200" w:lineRule="exact"/>
        <w:jc w:val="center"/>
        <w:textAlignment w:val="bottom"/>
        <w:outlineLvl w:val="0"/>
        <w:rPr>
          <w:rFonts w:ascii="方正小标宋简体" w:eastAsia="方正小标宋简体"/>
          <w:b/>
          <w:color w:val="auto"/>
          <w:sz w:val="84"/>
          <w:highlight w:val="none"/>
        </w:rPr>
      </w:pPr>
      <w:r>
        <w:rPr>
          <w:rFonts w:hint="eastAsia" w:ascii="黑体" w:hAnsi="黑体" w:eastAsia="黑体" w:cs="黑体"/>
          <w:bCs/>
          <w:color w:val="auto"/>
          <w:sz w:val="72"/>
          <w:szCs w:val="22"/>
          <w:highlight w:val="none"/>
        </w:rPr>
        <w:t>投 标 文 件</w:t>
      </w: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line="200" w:lineRule="exact"/>
        <w:jc w:val="left"/>
        <w:rPr>
          <w:rFonts w:cs="微软雅黑"/>
          <w:color w:val="auto"/>
          <w:kern w:val="0"/>
          <w:sz w:val="20"/>
          <w:szCs w:val="20"/>
          <w:highlight w:val="none"/>
        </w:rPr>
      </w:pPr>
    </w:p>
    <w:p>
      <w:pPr>
        <w:autoSpaceDE w:val="0"/>
        <w:autoSpaceDN w:val="0"/>
        <w:adjustRightInd w:val="0"/>
        <w:spacing w:before="16" w:line="360" w:lineRule="auto"/>
        <w:ind w:firstLine="480" w:firstLineChars="200"/>
        <w:jc w:val="left"/>
        <w:rPr>
          <w:rFonts w:cs="微软雅黑"/>
          <w:color w:val="auto"/>
          <w:kern w:val="0"/>
          <w:sz w:val="24"/>
          <w:highlight w:val="none"/>
        </w:rPr>
      </w:pPr>
    </w:p>
    <w:p>
      <w:pPr>
        <w:tabs>
          <w:tab w:val="left" w:pos="6940"/>
          <w:tab w:val="left" w:pos="7520"/>
        </w:tabs>
        <w:autoSpaceDE w:val="0"/>
        <w:autoSpaceDN w:val="0"/>
        <w:adjustRightInd w:val="0"/>
        <w:spacing w:line="360" w:lineRule="auto"/>
        <w:ind w:left="636" w:leftChars="303" w:right="52"/>
        <w:jc w:val="left"/>
        <w:rPr>
          <w:rFonts w:cs="微软雅黑"/>
          <w:color w:val="auto"/>
          <w:kern w:val="0"/>
          <w:sz w:val="24"/>
          <w:szCs w:val="28"/>
          <w:highlight w:val="none"/>
        </w:rPr>
      </w:pPr>
      <w:r>
        <w:rPr>
          <w:rFonts w:cs="微软雅黑"/>
          <w:color w:val="auto"/>
          <w:kern w:val="0"/>
          <w:sz w:val="24"/>
          <w:szCs w:val="28"/>
          <w:highlight w:val="none"/>
        </w:rPr>
        <w:t>投标人：</w:t>
      </w:r>
      <w:r>
        <w:rPr>
          <w:rFonts w:cs="微软雅黑"/>
          <w:color w:val="auto"/>
          <w:spacing w:val="57"/>
          <w:kern w:val="0"/>
          <w:sz w:val="24"/>
          <w:szCs w:val="28"/>
          <w:highlight w:val="none"/>
          <w:u w:val="single"/>
        </w:rPr>
        <w:t xml:space="preserve"> </w:t>
      </w:r>
      <w:r>
        <w:rPr>
          <w:rFonts w:cs="微软雅黑"/>
          <w:color w:val="auto"/>
          <w:kern w:val="0"/>
          <w:sz w:val="24"/>
          <w:szCs w:val="28"/>
          <w:highlight w:val="none"/>
          <w:u w:val="single"/>
        </w:rPr>
        <w:tab/>
      </w:r>
      <w:r>
        <w:rPr>
          <w:rFonts w:cs="微软雅黑"/>
          <w:color w:val="auto"/>
          <w:kern w:val="0"/>
          <w:sz w:val="24"/>
          <w:szCs w:val="28"/>
          <w:highlight w:val="none"/>
        </w:rPr>
        <w:t>(盖</w:t>
      </w:r>
      <w:r>
        <w:rPr>
          <w:rFonts w:cs="微软雅黑"/>
          <w:color w:val="auto"/>
          <w:spacing w:val="-3"/>
          <w:kern w:val="0"/>
          <w:sz w:val="24"/>
          <w:szCs w:val="28"/>
          <w:highlight w:val="none"/>
        </w:rPr>
        <w:t>单</w:t>
      </w:r>
      <w:r>
        <w:rPr>
          <w:rFonts w:cs="微软雅黑"/>
          <w:color w:val="auto"/>
          <w:kern w:val="0"/>
          <w:sz w:val="24"/>
          <w:szCs w:val="28"/>
          <w:highlight w:val="none"/>
        </w:rPr>
        <w:t>位</w:t>
      </w:r>
      <w:r>
        <w:rPr>
          <w:rFonts w:cs="微软雅黑"/>
          <w:color w:val="auto"/>
          <w:spacing w:val="-3"/>
          <w:kern w:val="0"/>
          <w:sz w:val="24"/>
          <w:szCs w:val="28"/>
          <w:highlight w:val="none"/>
        </w:rPr>
        <w:t>章</w:t>
      </w:r>
      <w:r>
        <w:rPr>
          <w:rFonts w:cs="微软雅黑"/>
          <w:color w:val="auto"/>
          <w:kern w:val="0"/>
          <w:sz w:val="24"/>
          <w:szCs w:val="28"/>
          <w:highlight w:val="none"/>
        </w:rPr>
        <w:t>)</w:t>
      </w:r>
    </w:p>
    <w:p>
      <w:pPr>
        <w:tabs>
          <w:tab w:val="left" w:pos="6940"/>
          <w:tab w:val="left" w:pos="7520"/>
        </w:tabs>
        <w:autoSpaceDE w:val="0"/>
        <w:autoSpaceDN w:val="0"/>
        <w:adjustRightInd w:val="0"/>
        <w:spacing w:line="360" w:lineRule="auto"/>
        <w:ind w:left="636" w:leftChars="303" w:right="52"/>
        <w:jc w:val="left"/>
        <w:rPr>
          <w:rFonts w:cs="微软雅黑"/>
          <w:color w:val="auto"/>
          <w:kern w:val="0"/>
          <w:sz w:val="24"/>
          <w:szCs w:val="28"/>
          <w:highlight w:val="none"/>
        </w:rPr>
      </w:pPr>
      <w:r>
        <w:rPr>
          <w:rFonts w:cs="微软雅黑"/>
          <w:color w:val="auto"/>
          <w:kern w:val="0"/>
          <w:sz w:val="24"/>
          <w:szCs w:val="28"/>
          <w:highlight w:val="none"/>
        </w:rPr>
        <w:t>法定代</w:t>
      </w:r>
      <w:r>
        <w:rPr>
          <w:rFonts w:cs="微软雅黑"/>
          <w:color w:val="auto"/>
          <w:spacing w:val="-3"/>
          <w:kern w:val="0"/>
          <w:sz w:val="24"/>
          <w:szCs w:val="28"/>
          <w:highlight w:val="none"/>
        </w:rPr>
        <w:t>表</w:t>
      </w:r>
      <w:r>
        <w:rPr>
          <w:rFonts w:cs="微软雅黑"/>
          <w:color w:val="auto"/>
          <w:kern w:val="0"/>
          <w:sz w:val="24"/>
          <w:szCs w:val="28"/>
          <w:highlight w:val="none"/>
        </w:rPr>
        <w:t>人或其</w:t>
      </w:r>
      <w:r>
        <w:rPr>
          <w:rFonts w:cs="微软雅黑"/>
          <w:color w:val="auto"/>
          <w:spacing w:val="-3"/>
          <w:kern w:val="0"/>
          <w:sz w:val="24"/>
          <w:szCs w:val="28"/>
          <w:highlight w:val="none"/>
        </w:rPr>
        <w:t>委托</w:t>
      </w:r>
      <w:r>
        <w:rPr>
          <w:rFonts w:cs="微软雅黑"/>
          <w:color w:val="auto"/>
          <w:kern w:val="0"/>
          <w:sz w:val="24"/>
          <w:szCs w:val="28"/>
          <w:highlight w:val="none"/>
        </w:rPr>
        <w:t>代理人</w:t>
      </w:r>
      <w:r>
        <w:rPr>
          <w:rFonts w:cs="微软雅黑"/>
          <w:color w:val="auto"/>
          <w:spacing w:val="2"/>
          <w:kern w:val="0"/>
          <w:sz w:val="24"/>
          <w:szCs w:val="28"/>
          <w:highlight w:val="none"/>
        </w:rPr>
        <w:t>：</w:t>
      </w:r>
      <w:r>
        <w:rPr>
          <w:rFonts w:cs="微软雅黑"/>
          <w:color w:val="auto"/>
          <w:spacing w:val="57"/>
          <w:kern w:val="0"/>
          <w:sz w:val="24"/>
          <w:szCs w:val="28"/>
          <w:highlight w:val="none"/>
          <w:u w:val="single"/>
        </w:rPr>
        <w:t xml:space="preserve"> </w:t>
      </w:r>
      <w:r>
        <w:rPr>
          <w:rFonts w:cs="微软雅黑"/>
          <w:color w:val="auto"/>
          <w:kern w:val="0"/>
          <w:sz w:val="24"/>
          <w:szCs w:val="28"/>
          <w:highlight w:val="none"/>
          <w:u w:val="single"/>
        </w:rPr>
        <w:tab/>
      </w:r>
      <w:r>
        <w:rPr>
          <w:rFonts w:cs="微软雅黑"/>
          <w:color w:val="auto"/>
          <w:kern w:val="0"/>
          <w:sz w:val="24"/>
          <w:szCs w:val="28"/>
          <w:highlight w:val="none"/>
        </w:rPr>
        <w:t>(</w:t>
      </w:r>
      <w:r>
        <w:rPr>
          <w:rFonts w:cs="微软雅黑"/>
          <w:color w:val="auto"/>
          <w:spacing w:val="-3"/>
          <w:kern w:val="0"/>
          <w:sz w:val="24"/>
          <w:szCs w:val="28"/>
          <w:highlight w:val="none"/>
        </w:rPr>
        <w:t>签</w:t>
      </w:r>
      <w:r>
        <w:rPr>
          <w:rFonts w:cs="微软雅黑"/>
          <w:color w:val="auto"/>
          <w:kern w:val="0"/>
          <w:sz w:val="24"/>
          <w:szCs w:val="28"/>
          <w:highlight w:val="none"/>
        </w:rPr>
        <w:t>字</w:t>
      </w:r>
      <w:r>
        <w:rPr>
          <w:rFonts w:hint="eastAsia" w:cs="微软雅黑"/>
          <w:color w:val="auto"/>
          <w:kern w:val="0"/>
          <w:sz w:val="24"/>
          <w:szCs w:val="28"/>
          <w:highlight w:val="none"/>
        </w:rPr>
        <w:t>或盖章</w:t>
      </w:r>
      <w:r>
        <w:rPr>
          <w:rFonts w:cs="微软雅黑"/>
          <w:color w:val="auto"/>
          <w:kern w:val="0"/>
          <w:sz w:val="24"/>
          <w:szCs w:val="28"/>
          <w:highlight w:val="none"/>
        </w:rPr>
        <w:t>)</w:t>
      </w:r>
    </w:p>
    <w:p>
      <w:pPr>
        <w:autoSpaceDE w:val="0"/>
        <w:autoSpaceDN w:val="0"/>
        <w:adjustRightInd w:val="0"/>
        <w:spacing w:before="3" w:line="130" w:lineRule="exact"/>
        <w:jc w:val="left"/>
        <w:rPr>
          <w:rFonts w:cs="微软雅黑"/>
          <w:color w:val="auto"/>
          <w:kern w:val="0"/>
          <w:sz w:val="13"/>
          <w:szCs w:val="13"/>
          <w:highlight w:val="none"/>
        </w:rPr>
      </w:pPr>
    </w:p>
    <w:p>
      <w:pPr>
        <w:tabs>
          <w:tab w:val="left" w:pos="3600"/>
          <w:tab w:val="left" w:pos="4620"/>
          <w:tab w:val="left" w:pos="5520"/>
        </w:tabs>
        <w:autoSpaceDE w:val="0"/>
        <w:autoSpaceDN w:val="0"/>
        <w:adjustRightInd w:val="0"/>
        <w:spacing w:line="360" w:lineRule="auto"/>
        <w:ind w:right="-20" w:firstLine="2280" w:firstLineChars="950"/>
        <w:jc w:val="left"/>
        <w:rPr>
          <w:rFonts w:cs="微软雅黑"/>
          <w:color w:val="auto"/>
          <w:kern w:val="0"/>
          <w:sz w:val="24"/>
          <w:szCs w:val="28"/>
          <w:highlight w:val="none"/>
        </w:rPr>
      </w:pPr>
      <w:r>
        <w:rPr>
          <w:rFonts w:cs="微软雅黑"/>
          <w:color w:val="auto"/>
          <w:kern w:val="0"/>
          <w:sz w:val="24"/>
          <w:szCs w:val="28"/>
          <w:highlight w:val="none"/>
          <w:u w:val="single"/>
        </w:rPr>
        <w:tab/>
      </w:r>
      <w:r>
        <w:rPr>
          <w:rFonts w:cs="微软雅黑"/>
          <w:color w:val="auto"/>
          <w:spacing w:val="2"/>
          <w:kern w:val="0"/>
          <w:sz w:val="24"/>
          <w:szCs w:val="28"/>
          <w:highlight w:val="none"/>
        </w:rPr>
        <w:t>年</w:t>
      </w:r>
      <w:r>
        <w:rPr>
          <w:rFonts w:cs="微软雅黑"/>
          <w:color w:val="auto"/>
          <w:spacing w:val="57"/>
          <w:kern w:val="0"/>
          <w:sz w:val="24"/>
          <w:szCs w:val="28"/>
          <w:highlight w:val="none"/>
          <w:u w:val="single"/>
        </w:rPr>
        <w:t xml:space="preserve"> </w:t>
      </w:r>
      <w:r>
        <w:rPr>
          <w:rFonts w:cs="微软雅黑"/>
          <w:color w:val="auto"/>
          <w:kern w:val="0"/>
          <w:sz w:val="24"/>
          <w:szCs w:val="28"/>
          <w:highlight w:val="none"/>
          <w:u w:val="single"/>
        </w:rPr>
        <w:tab/>
      </w:r>
      <w:r>
        <w:rPr>
          <w:rFonts w:cs="微软雅黑"/>
          <w:color w:val="auto"/>
          <w:spacing w:val="2"/>
          <w:kern w:val="0"/>
          <w:sz w:val="24"/>
          <w:szCs w:val="28"/>
          <w:highlight w:val="none"/>
        </w:rPr>
        <w:t>月</w:t>
      </w:r>
      <w:r>
        <w:rPr>
          <w:rFonts w:cs="微软雅黑"/>
          <w:color w:val="auto"/>
          <w:kern w:val="0"/>
          <w:sz w:val="24"/>
          <w:szCs w:val="28"/>
          <w:highlight w:val="none"/>
          <w:u w:val="single"/>
        </w:rPr>
        <w:tab/>
      </w:r>
      <w:r>
        <w:rPr>
          <w:rFonts w:cs="微软雅黑"/>
          <w:color w:val="auto"/>
          <w:kern w:val="0"/>
          <w:sz w:val="24"/>
          <w:szCs w:val="28"/>
          <w:highlight w:val="none"/>
          <w:u w:val="single"/>
        </w:rPr>
        <w:t xml:space="preserve">     </w:t>
      </w:r>
      <w:r>
        <w:rPr>
          <w:rFonts w:cs="微软雅黑"/>
          <w:color w:val="auto"/>
          <w:kern w:val="0"/>
          <w:sz w:val="24"/>
          <w:szCs w:val="28"/>
          <w:highlight w:val="none"/>
        </w:rPr>
        <w:t>日</w:t>
      </w:r>
    </w:p>
    <w:p>
      <w:pPr>
        <w:pStyle w:val="24"/>
        <w:spacing w:line="360" w:lineRule="auto"/>
        <w:ind w:firstLine="0" w:firstLineChars="0"/>
        <w:jc w:val="center"/>
        <w:rPr>
          <w:rFonts w:hAnsi="宋体"/>
          <w:b/>
          <w:color w:val="auto"/>
          <w:sz w:val="36"/>
          <w:szCs w:val="36"/>
          <w:highlight w:val="none"/>
        </w:rPr>
      </w:pPr>
    </w:p>
    <w:p>
      <w:pPr>
        <w:spacing w:line="400" w:lineRule="exact"/>
        <w:jc w:val="center"/>
        <w:rPr>
          <w:rFonts w:ascii="宋体" w:hAnsi="宋体"/>
          <w:b/>
          <w:bCs/>
          <w:color w:val="auto"/>
          <w:sz w:val="36"/>
          <w:szCs w:val="36"/>
          <w:highlight w:val="none"/>
        </w:rPr>
      </w:pPr>
      <w:r>
        <w:rPr>
          <w:rFonts w:hint="eastAsia" w:ascii="宋体" w:hAnsi="宋体"/>
          <w:b/>
          <w:bCs/>
          <w:color w:val="auto"/>
          <w:sz w:val="36"/>
          <w:szCs w:val="36"/>
          <w:highlight w:val="none"/>
        </w:rPr>
        <w:t>目  录</w:t>
      </w:r>
    </w:p>
    <w:p>
      <w:pPr>
        <w:spacing w:line="440" w:lineRule="exact"/>
        <w:jc w:val="left"/>
        <w:rPr>
          <w:rFonts w:ascii="宋体" w:hAnsi="宋体"/>
          <w:color w:val="auto"/>
          <w:sz w:val="24"/>
          <w:highlight w:val="none"/>
        </w:rPr>
      </w:pPr>
    </w:p>
    <w:p>
      <w:pPr>
        <w:numPr>
          <w:ilvl w:val="0"/>
          <w:numId w:val="2"/>
        </w:numPr>
        <w:spacing w:line="400" w:lineRule="exact"/>
        <w:jc w:val="left"/>
        <w:rPr>
          <w:rFonts w:ascii="宋体" w:hAnsi="宋体"/>
          <w:color w:val="auto"/>
          <w:sz w:val="24"/>
          <w:highlight w:val="none"/>
        </w:rPr>
      </w:pPr>
      <w:r>
        <w:rPr>
          <w:rFonts w:hint="eastAsia" w:ascii="宋体" w:hAnsi="宋体"/>
          <w:color w:val="auto"/>
          <w:sz w:val="24"/>
          <w:highlight w:val="none"/>
        </w:rPr>
        <w:t>商务标部分</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投标函；</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法定代表人身份证明或法定代表人授权委托书(投标文件由委托代理人签字或盖章时提供)；</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投标报价汇总表、投标分项报价表；</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资格证明文件；①投标人一般情况（格式4.1）及有关证明投标人法律地位的文件（附营业执照、一般纳税人证明材料）。②投标人须具有政府颁发的并在有效期内的印刷经营许可证（须提供印刷经营许可证复印件并加盖投标人公章作为证明材料）</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投标保证金；</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“信用中国、中国裁判文书网”投标企业信用报告概述页打印件（含网页标识或网址），并加盖企业法人章；</w:t>
      </w:r>
    </w:p>
    <w:p>
      <w:pPr>
        <w:spacing w:line="400" w:lineRule="exact"/>
        <w:jc w:val="left"/>
        <w:rPr>
          <w:rFonts w:ascii="宋体" w:hAnsi="宋体"/>
          <w:color w:val="auto"/>
          <w:sz w:val="24"/>
          <w:highlight w:val="none"/>
        </w:rPr>
      </w:pPr>
    </w:p>
    <w:p>
      <w:pPr>
        <w:numPr>
          <w:ilvl w:val="0"/>
          <w:numId w:val="2"/>
        </w:numPr>
        <w:spacing w:line="400" w:lineRule="exact"/>
        <w:jc w:val="left"/>
        <w:rPr>
          <w:rFonts w:ascii="宋体" w:hAnsi="宋体"/>
          <w:color w:val="auto"/>
          <w:sz w:val="24"/>
          <w:highlight w:val="none"/>
        </w:rPr>
      </w:pPr>
      <w:r>
        <w:rPr>
          <w:rFonts w:hint="eastAsia" w:ascii="宋体" w:hAnsi="宋体"/>
          <w:color w:val="auto"/>
          <w:sz w:val="24"/>
          <w:highlight w:val="none"/>
        </w:rPr>
        <w:t>货物技术标部分</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商务与技术规格偏离表（不填写此表视为完全响应）；</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拟投产品技术规格书及技术支持资料；</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其他承诺(质量保证计划、供货计划、售后服务承诺等)；</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投标人须知前附表规定的其他资料；</w:t>
      </w:r>
    </w:p>
    <w:p>
      <w:pPr>
        <w:spacing w:line="400" w:lineRule="exact"/>
        <w:jc w:val="left"/>
        <w:rPr>
          <w:rFonts w:ascii="宋体" w:hAnsi="宋体"/>
          <w:color w:val="auto"/>
          <w:sz w:val="24"/>
          <w:highlight w:val="none"/>
        </w:rPr>
      </w:pPr>
    </w:p>
    <w:p>
      <w:pPr>
        <w:numPr>
          <w:ilvl w:val="0"/>
          <w:numId w:val="2"/>
        </w:numPr>
        <w:spacing w:line="400" w:lineRule="exact"/>
        <w:jc w:val="left"/>
        <w:rPr>
          <w:rFonts w:ascii="宋体" w:hAnsi="宋体"/>
          <w:color w:val="auto"/>
          <w:sz w:val="24"/>
          <w:highlight w:val="none"/>
        </w:rPr>
      </w:pPr>
      <w:r>
        <w:rPr>
          <w:rFonts w:hint="eastAsia" w:ascii="宋体" w:hAnsi="宋体"/>
          <w:color w:val="auto"/>
          <w:sz w:val="24"/>
          <w:highlight w:val="none"/>
        </w:rPr>
        <w:t>其他资格审查资料。</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打分资料一览表；</w:t>
      </w:r>
    </w:p>
    <w:p>
      <w:pPr>
        <w:numPr>
          <w:ilvl w:val="0"/>
          <w:numId w:val="3"/>
        </w:numPr>
        <w:spacing w:line="400" w:lineRule="exact"/>
        <w:ind w:firstLine="480" w:firstLineChars="200"/>
        <w:jc w:val="left"/>
        <w:rPr>
          <w:rFonts w:ascii="宋体" w:hAnsi="宋体"/>
          <w:color w:val="auto"/>
          <w:sz w:val="24"/>
          <w:highlight w:val="none"/>
        </w:rPr>
      </w:pPr>
      <w:r>
        <w:rPr>
          <w:rFonts w:hint="eastAsia" w:ascii="宋体" w:hAnsi="宋体"/>
          <w:color w:val="auto"/>
          <w:sz w:val="24"/>
          <w:highlight w:val="none"/>
        </w:rPr>
        <w:t>无行贿犯罪记录承诺声明。</w:t>
      </w:r>
    </w:p>
    <w:p>
      <w:pPr>
        <w:spacing w:line="440" w:lineRule="exact"/>
        <w:jc w:val="left"/>
        <w:rPr>
          <w:rFonts w:ascii="宋体" w:hAnsi="宋体"/>
          <w:color w:val="auto"/>
          <w:sz w:val="24"/>
          <w:highlight w:val="none"/>
        </w:rPr>
      </w:pPr>
    </w:p>
    <w:p>
      <w:pPr>
        <w:spacing w:line="440" w:lineRule="exact"/>
        <w:jc w:val="left"/>
        <w:rPr>
          <w:rFonts w:ascii="宋体" w:hAnsi="宋体"/>
          <w:color w:val="auto"/>
          <w:sz w:val="24"/>
          <w:highlight w:val="none"/>
        </w:rPr>
      </w:pPr>
    </w:p>
    <w:p>
      <w:pPr>
        <w:jc w:val="left"/>
        <w:rPr>
          <w:rFonts w:ascii="宋体" w:hAnsi="宋体"/>
          <w:color w:val="auto"/>
          <w:sz w:val="24"/>
          <w:highlight w:val="none"/>
        </w:rPr>
      </w:pPr>
    </w:p>
    <w:p>
      <w:pPr>
        <w:jc w:val="left"/>
        <w:rPr>
          <w:rFonts w:ascii="宋体" w:hAnsi="宋体"/>
          <w:color w:val="auto"/>
          <w:sz w:val="24"/>
          <w:highlight w:val="none"/>
        </w:rPr>
      </w:pPr>
    </w:p>
    <w:p>
      <w:pPr>
        <w:jc w:val="left"/>
        <w:rPr>
          <w:rFonts w:ascii="宋体" w:hAnsi="宋体"/>
          <w:color w:val="auto"/>
          <w:sz w:val="24"/>
          <w:highlight w:val="none"/>
        </w:rPr>
      </w:pPr>
    </w:p>
    <w:p>
      <w:pPr>
        <w:jc w:val="left"/>
        <w:rPr>
          <w:rFonts w:ascii="宋体" w:hAnsi="宋体"/>
          <w:color w:val="auto"/>
          <w:sz w:val="24"/>
          <w:highlight w:val="none"/>
        </w:rPr>
      </w:pPr>
    </w:p>
    <w:p>
      <w:pPr>
        <w:jc w:val="left"/>
        <w:rPr>
          <w:rFonts w:ascii="宋体" w:hAnsi="宋体"/>
          <w:color w:val="auto"/>
          <w:sz w:val="24"/>
          <w:highlight w:val="none"/>
        </w:rPr>
      </w:pPr>
    </w:p>
    <w:p>
      <w:pPr>
        <w:jc w:val="left"/>
        <w:rPr>
          <w:rFonts w:ascii="宋体" w:hAnsi="宋体"/>
          <w:color w:val="auto"/>
          <w:sz w:val="24"/>
          <w:highlight w:val="none"/>
        </w:rPr>
      </w:pPr>
    </w:p>
    <w:p>
      <w:pPr>
        <w:pStyle w:val="24"/>
        <w:ind w:firstLine="480"/>
        <w:rPr>
          <w:rFonts w:ascii="宋体" w:hAnsi="宋体"/>
          <w:color w:val="auto"/>
          <w:sz w:val="24"/>
          <w:highlight w:val="none"/>
        </w:rPr>
      </w:pPr>
    </w:p>
    <w:p>
      <w:pPr>
        <w:pStyle w:val="24"/>
        <w:ind w:firstLine="480"/>
        <w:rPr>
          <w:rFonts w:ascii="宋体" w:hAnsi="宋体"/>
          <w:color w:val="auto"/>
          <w:sz w:val="24"/>
          <w:highlight w:val="none"/>
        </w:rPr>
      </w:pPr>
    </w:p>
    <w:p>
      <w:pPr>
        <w:pStyle w:val="24"/>
        <w:ind w:firstLine="480"/>
        <w:rPr>
          <w:rFonts w:ascii="宋体" w:hAnsi="宋体"/>
          <w:color w:val="auto"/>
          <w:sz w:val="24"/>
          <w:highlight w:val="none"/>
        </w:rPr>
      </w:pPr>
    </w:p>
    <w:p>
      <w:pPr>
        <w:pStyle w:val="3"/>
        <w:ind w:firstLine="281"/>
        <w:jc w:val="center"/>
        <w:rPr>
          <w:rFonts w:ascii="宋体" w:hAnsi="宋体" w:cs="宋体"/>
          <w:color w:val="auto"/>
          <w:sz w:val="36"/>
          <w:szCs w:val="36"/>
          <w:highlight w:val="none"/>
        </w:rPr>
      </w:pPr>
      <w:bookmarkStart w:id="14" w:name="_Toc498369985"/>
      <w:bookmarkStart w:id="15" w:name="_Toc498368697"/>
      <w:bookmarkStart w:id="16" w:name="_Toc496714151"/>
      <w:bookmarkStart w:id="17" w:name="_Toc492473462"/>
      <w:bookmarkStart w:id="18" w:name="_Toc493513023"/>
      <w:bookmarkStart w:id="19" w:name="_Toc498369913"/>
      <w:r>
        <w:rPr>
          <w:rFonts w:hint="eastAsia"/>
          <w:color w:val="auto"/>
          <w:highlight w:val="none"/>
        </w:rPr>
        <w:t>一、</w:t>
      </w:r>
      <w:r>
        <w:rPr>
          <w:rFonts w:hint="eastAsia" w:ascii="宋体" w:hAnsi="宋体" w:cs="宋体"/>
          <w:color w:val="auto"/>
          <w:sz w:val="36"/>
          <w:szCs w:val="36"/>
          <w:highlight w:val="none"/>
        </w:rPr>
        <w:t>投标函</w:t>
      </w:r>
      <w:bookmarkEnd w:id="14"/>
      <w:bookmarkEnd w:id="15"/>
      <w:bookmarkEnd w:id="16"/>
      <w:bookmarkEnd w:id="17"/>
      <w:bookmarkEnd w:id="18"/>
      <w:bookmarkEnd w:id="19"/>
    </w:p>
    <w:p>
      <w:pPr>
        <w:spacing w:line="400" w:lineRule="exact"/>
        <w:rPr>
          <w:rFonts w:ascii="宋体" w:cs="宋体"/>
          <w:b/>
          <w:color w:val="auto"/>
          <w:sz w:val="24"/>
          <w:highlight w:val="none"/>
        </w:rPr>
      </w:pPr>
      <w:r>
        <w:rPr>
          <w:rFonts w:hint="eastAsia" w:ascii="宋体" w:hAnsi="宋体" w:cs="宋体"/>
          <w:b/>
          <w:color w:val="auto"/>
          <w:sz w:val="24"/>
          <w:highlight w:val="none"/>
        </w:rPr>
        <w:t>致</w:t>
      </w:r>
      <w:r>
        <w:rPr>
          <w:rFonts w:ascii="宋体" w:hAnsi="宋体" w:cs="宋体"/>
          <w:b/>
          <w:color w:val="auto"/>
          <w:sz w:val="24"/>
          <w:highlight w:val="none"/>
        </w:rPr>
        <w:t>：</w:t>
      </w:r>
      <w:r>
        <w:rPr>
          <w:rFonts w:hint="eastAsia" w:ascii="宋体" w:hAnsi="宋体" w:cs="宋体"/>
          <w:b/>
          <w:color w:val="auto"/>
          <w:sz w:val="24"/>
          <w:highlight w:val="none"/>
          <w:u w:val="single"/>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rPr>
        <w:t>（招标人）：</w:t>
      </w:r>
    </w:p>
    <w:p>
      <w:pPr>
        <w:spacing w:line="400" w:lineRule="exact"/>
        <w:ind w:firstLine="240"/>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我方已全面阅读和研究了</w:t>
      </w:r>
      <w:r>
        <w:rPr>
          <w:rFonts w:hint="eastAsia" w:ascii="宋体" w:hAnsi="宋体" w:cs="宋体"/>
          <w:b/>
          <w:bCs/>
          <w:color w:val="auto"/>
          <w:sz w:val="24"/>
          <w:highlight w:val="none"/>
          <w:u w:val="single"/>
        </w:rPr>
        <w:t xml:space="preserve"> 宁波机场集团有限公司印刷品采购项目</w:t>
      </w:r>
      <w:r>
        <w:rPr>
          <w:rFonts w:hint="eastAsia" w:ascii="宋体" w:hAnsi="宋体" w:cs="宋体"/>
          <w:color w:val="auto"/>
          <w:sz w:val="24"/>
          <w:highlight w:val="none"/>
        </w:rPr>
        <w:t>招标文件和招标补充文件，并经过对项目现场的踏勘，澄清疑问，已充分理解并掌握了本项目招标的全部有关情况</w:t>
      </w:r>
      <w:r>
        <w:rPr>
          <w:rFonts w:hint="eastAsia" w:ascii="宋体" w:hAnsi="宋体"/>
          <w:color w:val="auto"/>
          <w:sz w:val="24"/>
          <w:highlight w:val="none"/>
        </w:rPr>
        <w:t>，放弃提出任何误解或不明作为抗辩的权利</w:t>
      </w:r>
      <w:r>
        <w:rPr>
          <w:rFonts w:hint="eastAsia" w:ascii="宋体" w:hAnsi="宋体" w:cs="宋体"/>
          <w:color w:val="auto"/>
          <w:sz w:val="24"/>
          <w:highlight w:val="none"/>
        </w:rPr>
        <w:t>。同意接受招标文件的全部内容和条件，并按此确定本项目投标的要约内容，以本投标函向你方发包的</w:t>
      </w:r>
      <w:r>
        <w:rPr>
          <w:rFonts w:hint="eastAsia" w:ascii="宋体" w:hAnsi="宋体" w:cs="宋体"/>
          <w:b/>
          <w:bCs/>
          <w:color w:val="auto"/>
          <w:sz w:val="24"/>
          <w:highlight w:val="none"/>
          <w:u w:val="single"/>
        </w:rPr>
        <w:t xml:space="preserve">  宁波机场集团有限公司印刷品采购项目</w:t>
      </w:r>
      <w:r>
        <w:rPr>
          <w:rFonts w:hint="eastAsia" w:ascii="宋体" w:hAnsi="宋体" w:cs="宋体"/>
          <w:color w:val="auto"/>
          <w:sz w:val="24"/>
          <w:highlight w:val="none"/>
        </w:rPr>
        <w:t>全部内容进行投标。最终报价为人民币（大写）</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元（增值税税率</w:t>
      </w:r>
      <w:r>
        <w:rPr>
          <w:rFonts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），服务期限：</w:t>
      </w:r>
      <w:r>
        <w:rPr>
          <w:rFonts w:hint="eastAsia" w:ascii="宋体" w:hAnsi="宋体" w:cs="宋体"/>
          <w:color w:val="auto"/>
          <w:sz w:val="24"/>
          <w:highlight w:val="none"/>
          <w:u w:val="single"/>
        </w:rPr>
        <w:t>自合同签订之日起3年，按每批次订单要求交付</w:t>
      </w:r>
      <w:r>
        <w:rPr>
          <w:rFonts w:hint="eastAsia" w:ascii="宋体" w:hAnsi="宋体" w:cs="宋体"/>
          <w:color w:val="auto"/>
          <w:sz w:val="24"/>
          <w:highlight w:val="none"/>
        </w:rPr>
        <w:t>，质量标准：</w:t>
      </w:r>
      <w:r>
        <w:rPr>
          <w:rFonts w:hint="eastAsia" w:ascii="宋体" w:hAnsi="宋体" w:cs="宋体"/>
          <w:color w:val="auto"/>
          <w:sz w:val="24"/>
          <w:highlight w:val="none"/>
          <w:u w:val="single"/>
        </w:rPr>
        <w:t>产品质量必须符合相关规范要求且一次验收合格</w:t>
      </w:r>
      <w:r>
        <w:rPr>
          <w:rFonts w:hint="eastAsia" w:ascii="宋体" w:hAnsi="宋体" w:cs="宋体"/>
          <w:color w:val="auto"/>
          <w:sz w:val="24"/>
          <w:highlight w:val="none"/>
        </w:rPr>
        <w:t>。</w:t>
      </w:r>
    </w:p>
    <w:p>
      <w:pPr>
        <w:pStyle w:val="8"/>
        <w:spacing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将严格按照招标投标法律法规及招标文件的规定参加投标，同意按照贵方可能提出的要求，提供有关的任何其它数字或资料，并对贵方可能不接受最低报价及任何报价表示理解，对评标、定标结果也没有解释义务。如由我方中标，在接到你方发出的中标通知书规定时间内递交委托规定金额的履约保证金，并按中标通知书、招标文件和本投标函的约定与你方签订委托合同，履行规定的一切责任和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我方完全清楚并理解在投标有效期期满之前撤回投标，招标人有权不予退还投标人的投标保证金</w:t>
      </w:r>
    </w:p>
    <w:p>
      <w:pPr>
        <w:spacing w:line="400" w:lineRule="exact"/>
        <w:ind w:firstLine="547" w:firstLineChars="228"/>
        <w:rPr>
          <w:rFonts w:ascii="宋体" w:cs="宋体"/>
          <w:color w:val="auto"/>
          <w:sz w:val="24"/>
          <w:highlight w:val="none"/>
        </w:rPr>
      </w:pPr>
      <w:r>
        <w:rPr>
          <w:rFonts w:hint="eastAsia" w:ascii="宋体" w:hAnsi="宋体" w:cs="宋体"/>
          <w:color w:val="auto"/>
          <w:sz w:val="24"/>
          <w:highlight w:val="none"/>
        </w:rPr>
        <w:t>我方同意从投标截止之日起在</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rPr>
        <w:t>天的有效期内恪守本招标文件，在此期限期满之前的任何时间，本投标函全部条款内容对我方具有约束力。</w:t>
      </w:r>
    </w:p>
    <w:p>
      <w:pPr>
        <w:spacing w:line="400" w:lineRule="exact"/>
        <w:ind w:firstLine="547" w:firstLineChars="228"/>
        <w:rPr>
          <w:rFonts w:ascii="宋体" w:hAnsi="宋体" w:cs="宋体"/>
          <w:color w:val="auto"/>
          <w:sz w:val="24"/>
          <w:highlight w:val="none"/>
        </w:rPr>
      </w:pPr>
      <w:r>
        <w:rPr>
          <w:rFonts w:hint="eastAsia" w:ascii="宋体" w:hAnsi="宋体" w:cs="宋体"/>
          <w:color w:val="auto"/>
          <w:sz w:val="24"/>
          <w:highlight w:val="none"/>
        </w:rPr>
        <w:t>在合同协议书正式签署生效之前，本投标函连同你方的中标通知书将构成我们双方之间共同遵守的文件，对双方均具有约束力。</w:t>
      </w:r>
    </w:p>
    <w:p>
      <w:pPr>
        <w:spacing w:line="400" w:lineRule="exact"/>
        <w:ind w:firstLine="549" w:firstLineChars="228"/>
        <w:rPr>
          <w:rFonts w:ascii="宋体" w:cs="宋体"/>
          <w:b/>
          <w:color w:val="auto"/>
          <w:sz w:val="24"/>
          <w:highlight w:val="none"/>
        </w:rPr>
      </w:pPr>
    </w:p>
    <w:p>
      <w:pPr>
        <w:spacing w:line="400" w:lineRule="exact"/>
        <w:ind w:firstLine="240"/>
        <w:jc w:val="left"/>
        <w:rPr>
          <w:rFonts w:ascii="宋体" w:hAnsi="宋体" w:cs="宋体"/>
          <w:color w:val="auto"/>
          <w:sz w:val="24"/>
          <w:highlight w:val="none"/>
          <w:u w:val="single"/>
        </w:rPr>
      </w:pPr>
      <w:r>
        <w:rPr>
          <w:rFonts w:ascii="宋体" w:hAnsi="宋体" w:cs="宋体"/>
          <w:color w:val="auto"/>
          <w:sz w:val="24"/>
          <w:highlight w:val="none"/>
        </w:rPr>
        <w:t xml:space="preserve">  </w:t>
      </w: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r>
        <w:rPr>
          <w:rFonts w:hint="eastAsia"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邮政编码：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电    话：</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传    真：</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账    号：</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sectPr>
          <w:footerReference r:id="rId8" w:type="even"/>
          <w:pgSz w:w="11907" w:h="16840"/>
          <w:pgMar w:top="1701" w:right="1588" w:bottom="1588" w:left="1588" w:header="680" w:footer="680" w:gutter="0"/>
          <w:cols w:space="720" w:num="1"/>
          <w:docGrid w:linePitch="271" w:charSpace="0"/>
        </w:sectPr>
      </w:pPr>
      <w:r>
        <w:rPr>
          <w:rFonts w:hint="eastAsia" w:ascii="宋体" w:hAnsi="宋体" w:cs="宋体"/>
          <w:color w:val="auto"/>
          <w:sz w:val="24"/>
          <w:highlight w:val="none"/>
        </w:rPr>
        <w:t>日    期：</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p>
    <w:p>
      <w:pPr>
        <w:topLinePunct/>
        <w:spacing w:line="400" w:lineRule="exact"/>
        <w:jc w:val="center"/>
        <w:rPr>
          <w:rFonts w:ascii="宋体" w:hAnsi="宋体" w:cs="宋体"/>
          <w:b/>
          <w:color w:val="auto"/>
          <w:sz w:val="36"/>
          <w:szCs w:val="36"/>
          <w:highlight w:val="none"/>
        </w:rPr>
      </w:pPr>
    </w:p>
    <w:p>
      <w:pPr>
        <w:spacing w:line="400" w:lineRule="exact"/>
        <w:ind w:firstLine="240"/>
        <w:jc w:val="center"/>
        <w:rPr>
          <w:rFonts w:ascii="宋体" w:cs="宋体"/>
          <w:color w:val="auto"/>
          <w:kern w:val="44"/>
          <w:sz w:val="24"/>
          <w:highlight w:val="none"/>
        </w:rPr>
      </w:pPr>
      <w:r>
        <w:rPr>
          <w:rFonts w:hint="eastAsia" w:ascii="Calibri" w:hAnsi="Calibri" w:cs="微软雅黑"/>
          <w:b/>
          <w:color w:val="auto"/>
          <w:kern w:val="0"/>
          <w:sz w:val="36"/>
          <w:szCs w:val="36"/>
          <w:highlight w:val="none"/>
        </w:rPr>
        <w:t>二</w:t>
      </w:r>
      <w:r>
        <w:rPr>
          <w:rFonts w:hint="eastAsia" w:ascii="宋体" w:hAnsi="宋体" w:cs="宋体"/>
          <w:b/>
          <w:color w:val="auto"/>
          <w:kern w:val="0"/>
          <w:sz w:val="36"/>
          <w:szCs w:val="36"/>
          <w:highlight w:val="none"/>
        </w:rPr>
        <w:t>-1</w:t>
      </w:r>
      <w:r>
        <w:rPr>
          <w:rFonts w:hint="eastAsia" w:ascii="Calibri" w:hAnsi="Calibri" w:cs="微软雅黑"/>
          <w:b/>
          <w:color w:val="auto"/>
          <w:kern w:val="0"/>
          <w:sz w:val="36"/>
          <w:szCs w:val="36"/>
          <w:highlight w:val="none"/>
        </w:rPr>
        <w:t>、法定代表人身份证明</w:t>
      </w:r>
    </w:p>
    <w:p>
      <w:pPr>
        <w:spacing w:line="400" w:lineRule="exact"/>
        <w:ind w:firstLine="210"/>
        <w:rPr>
          <w:rFonts w:ascii="宋体" w:cs="宋体"/>
          <w:color w:val="auto"/>
          <w:szCs w:val="21"/>
          <w:highlight w:val="none"/>
        </w:rPr>
      </w:pPr>
    </w:p>
    <w:p>
      <w:pPr>
        <w:spacing w:line="400" w:lineRule="exact"/>
        <w:ind w:firstLine="240"/>
        <w:rPr>
          <w:rFonts w:ascii="宋体" w:hAnsi="宋体" w:cs="宋体"/>
          <w:color w:val="auto"/>
          <w:sz w:val="24"/>
          <w:highlight w:val="none"/>
        </w:rPr>
      </w:pPr>
    </w:p>
    <w:p>
      <w:pPr>
        <w:spacing w:line="400" w:lineRule="exact"/>
        <w:ind w:firstLine="240"/>
        <w:rPr>
          <w:rFonts w:ascii="宋体" w:cs="宋体"/>
          <w:color w:val="auto"/>
          <w:sz w:val="24"/>
          <w:highlight w:val="none"/>
        </w:rPr>
      </w:pPr>
      <w:r>
        <w:rPr>
          <w:rFonts w:hint="eastAsia" w:ascii="宋体" w:hAnsi="宋体" w:cs="宋体"/>
          <w:color w:val="auto"/>
          <w:sz w:val="24"/>
          <w:highlight w:val="none"/>
        </w:rPr>
        <w:t>投标人名称：</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p>
    <w:p>
      <w:pPr>
        <w:spacing w:line="400" w:lineRule="exact"/>
        <w:ind w:firstLine="240"/>
        <w:rPr>
          <w:rFonts w:ascii="宋体" w:cs="宋体"/>
          <w:color w:val="auto"/>
          <w:sz w:val="24"/>
          <w:highlight w:val="none"/>
        </w:rPr>
      </w:pPr>
      <w:r>
        <w:rPr>
          <w:rFonts w:hint="eastAsia" w:ascii="宋体" w:hAnsi="宋体" w:cs="宋体"/>
          <w:color w:val="auto"/>
          <w:sz w:val="24"/>
          <w:highlight w:val="none"/>
        </w:rPr>
        <w:t>单位性质：</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p>
    <w:p>
      <w:pPr>
        <w:spacing w:line="400" w:lineRule="exact"/>
        <w:ind w:firstLine="240"/>
        <w:rPr>
          <w:rFonts w:ascii="宋体" w:cs="宋体"/>
          <w:color w:val="auto"/>
          <w:sz w:val="24"/>
          <w:highlight w:val="none"/>
        </w:rPr>
      </w:pPr>
      <w:r>
        <w:rPr>
          <w:rFonts w:hint="eastAsia" w:ascii="宋体" w:hAnsi="宋体" w:cs="宋体"/>
          <w:color w:val="auto"/>
          <w:sz w:val="24"/>
          <w:highlight w:val="none"/>
        </w:rPr>
        <w:t>地址：</w:t>
      </w:r>
      <w:r>
        <w:rPr>
          <w:rFonts w:ascii="宋体" w:hAnsi="宋体" w:cs="宋体"/>
          <w:color w:val="auto"/>
          <w:sz w:val="24"/>
          <w:highlight w:val="none"/>
          <w:u w:val="single"/>
        </w:rPr>
        <w:t xml:space="preserve">                                   </w:t>
      </w:r>
    </w:p>
    <w:p>
      <w:pPr>
        <w:spacing w:line="400" w:lineRule="exact"/>
        <w:ind w:firstLine="240"/>
        <w:rPr>
          <w:rFonts w:ascii="宋体" w:cs="宋体"/>
          <w:color w:val="auto"/>
          <w:sz w:val="24"/>
          <w:highlight w:val="none"/>
        </w:rPr>
      </w:pPr>
      <w:r>
        <w:rPr>
          <w:rFonts w:hint="eastAsia" w:ascii="宋体" w:hAnsi="宋体" w:cs="宋体"/>
          <w:color w:val="auto"/>
          <w:sz w:val="24"/>
          <w:highlight w:val="none"/>
        </w:rPr>
        <w:t>成立时间：</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日</w:t>
      </w:r>
    </w:p>
    <w:p>
      <w:pPr>
        <w:spacing w:line="400" w:lineRule="exact"/>
        <w:ind w:firstLine="240"/>
        <w:rPr>
          <w:rFonts w:ascii="宋体" w:cs="宋体"/>
          <w:color w:val="auto"/>
          <w:sz w:val="24"/>
          <w:highlight w:val="none"/>
        </w:rPr>
      </w:pPr>
      <w:r>
        <w:rPr>
          <w:rFonts w:hint="eastAsia" w:ascii="宋体" w:hAnsi="宋体" w:cs="宋体"/>
          <w:color w:val="auto"/>
          <w:sz w:val="24"/>
          <w:highlight w:val="none"/>
        </w:rPr>
        <w:t>经营期限：</w:t>
      </w:r>
      <w:r>
        <w:rPr>
          <w:rFonts w:ascii="宋体" w:hAnsi="宋体" w:cs="宋体"/>
          <w:color w:val="auto"/>
          <w:sz w:val="24"/>
          <w:highlight w:val="none"/>
          <w:u w:val="single"/>
        </w:rPr>
        <w:t xml:space="preserve">                               </w:t>
      </w:r>
    </w:p>
    <w:p>
      <w:pPr>
        <w:spacing w:line="400" w:lineRule="exact"/>
        <w:ind w:firstLine="240"/>
        <w:rPr>
          <w:rFonts w:ascii="宋体" w:hAnsi="宋体" w:cs="宋体"/>
          <w:color w:val="auto"/>
          <w:sz w:val="24"/>
          <w:highlight w:val="none"/>
          <w:u w:val="single"/>
        </w:rPr>
      </w:pPr>
      <w:r>
        <w:rPr>
          <w:rFonts w:hint="eastAsia" w:ascii="宋体" w:hAnsi="宋体" w:cs="宋体"/>
          <w:color w:val="auto"/>
          <w:sz w:val="24"/>
          <w:highlight w:val="none"/>
        </w:rPr>
        <w:t>姓名：</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性别：</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年龄：</w:t>
      </w:r>
      <w:r>
        <w:rPr>
          <w:rFonts w:ascii="宋体" w:hAnsi="宋体" w:cs="宋体"/>
          <w:color w:val="auto"/>
          <w:sz w:val="24"/>
          <w:highlight w:val="none"/>
          <w:u w:val="single"/>
        </w:rPr>
        <w:t xml:space="preserve">        </w:t>
      </w:r>
      <w:r>
        <w:rPr>
          <w:rFonts w:hint="eastAsia" w:ascii="宋体" w:hAnsi="宋体" w:cs="宋体"/>
          <w:color w:val="auto"/>
          <w:sz w:val="24"/>
          <w:highlight w:val="none"/>
        </w:rPr>
        <w:t>职务：</w:t>
      </w:r>
      <w:r>
        <w:rPr>
          <w:rFonts w:ascii="宋体" w:hAnsi="宋体" w:cs="宋体"/>
          <w:color w:val="auto"/>
          <w:sz w:val="24"/>
          <w:highlight w:val="none"/>
          <w:u w:val="single"/>
        </w:rPr>
        <w:t xml:space="preserve">        </w:t>
      </w:r>
    </w:p>
    <w:p>
      <w:pPr>
        <w:spacing w:line="400" w:lineRule="exact"/>
        <w:ind w:firstLine="240"/>
        <w:rPr>
          <w:rFonts w:ascii="宋体" w:cs="宋体"/>
          <w:color w:val="auto"/>
          <w:sz w:val="24"/>
          <w:highlight w:val="none"/>
        </w:rPr>
      </w:pPr>
      <w:r>
        <w:rPr>
          <w:rFonts w:hint="eastAsia" w:ascii="宋体" w:cs="宋体"/>
          <w:color w:val="auto"/>
          <w:sz w:val="24"/>
          <w:highlight w:val="none"/>
        </w:rPr>
        <w:t>身份证号码：</w:t>
      </w:r>
      <w:r>
        <w:rPr>
          <w:rFonts w:ascii="宋体" w:hAnsi="宋体" w:cs="宋体"/>
          <w:color w:val="auto"/>
          <w:sz w:val="24"/>
          <w:highlight w:val="none"/>
          <w:u w:val="single"/>
        </w:rPr>
        <w:t xml:space="preserve">                             </w:t>
      </w:r>
      <w:r>
        <w:rPr>
          <w:rFonts w:hint="eastAsia" w:ascii="宋体" w:cs="宋体"/>
          <w:color w:val="auto"/>
          <w:sz w:val="24"/>
          <w:highlight w:val="none"/>
        </w:rPr>
        <w:t xml:space="preserve">                           </w:t>
      </w:r>
    </w:p>
    <w:p>
      <w:pPr>
        <w:spacing w:line="400" w:lineRule="exact"/>
        <w:ind w:firstLine="240"/>
        <w:rPr>
          <w:rFonts w:ascii="宋体" w:cs="宋体"/>
          <w:color w:val="auto"/>
          <w:sz w:val="24"/>
          <w:highlight w:val="none"/>
        </w:rPr>
      </w:pPr>
      <w:r>
        <w:rPr>
          <w:rFonts w:hint="eastAsia" w:ascii="宋体" w:hAnsi="宋体" w:cs="宋体"/>
          <w:color w:val="auto"/>
          <w:sz w:val="24"/>
          <w:highlight w:val="none"/>
        </w:rPr>
        <w:t>系</w:t>
      </w:r>
      <w:r>
        <w:rPr>
          <w:rFonts w:ascii="宋体" w:hAnsi="宋体" w:cs="宋体"/>
          <w:color w:val="auto"/>
          <w:sz w:val="24"/>
          <w:highlight w:val="none"/>
          <w:u w:val="singl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（投标人名称）的法定代表人。</w:t>
      </w:r>
    </w:p>
    <w:p>
      <w:pPr>
        <w:spacing w:line="400" w:lineRule="exact"/>
        <w:ind w:firstLine="480" w:firstLineChars="200"/>
        <w:rPr>
          <w:rFonts w:ascii="宋体" w:cs="宋体"/>
          <w:color w:val="auto"/>
          <w:sz w:val="24"/>
          <w:highlight w:val="none"/>
        </w:rPr>
      </w:pPr>
      <w:r>
        <w:rPr>
          <w:rFonts w:hint="eastAsia" w:ascii="宋体" w:hAnsi="宋体" w:cs="宋体"/>
          <w:color w:val="auto"/>
          <w:sz w:val="24"/>
          <w:highlight w:val="none"/>
        </w:rPr>
        <w:t>特此证明。</w:t>
      </w:r>
    </w:p>
    <w:p>
      <w:pPr>
        <w:spacing w:line="400" w:lineRule="exact"/>
        <w:ind w:firstLine="240"/>
        <w:rPr>
          <w:rFonts w:ascii="宋体" w:cs="宋体"/>
          <w:color w:val="auto"/>
          <w:sz w:val="24"/>
          <w:highlight w:val="none"/>
        </w:rPr>
      </w:pPr>
    </w:p>
    <w:p>
      <w:pPr>
        <w:spacing w:line="400" w:lineRule="exact"/>
        <w:ind w:firstLine="240"/>
        <w:rPr>
          <w:rFonts w:ascii="宋体" w:cs="宋体"/>
          <w:color w:val="auto"/>
          <w:sz w:val="24"/>
          <w:highlight w:val="none"/>
        </w:rPr>
      </w:pPr>
    </w:p>
    <w:p>
      <w:pPr>
        <w:spacing w:line="400" w:lineRule="exact"/>
        <w:ind w:firstLine="240"/>
        <w:jc w:val="right"/>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投标人：</w:t>
      </w:r>
      <w:r>
        <w:rPr>
          <w:rFonts w:ascii="宋体" w:hAnsi="宋体" w:cs="宋体"/>
          <w:color w:val="auto"/>
          <w:sz w:val="24"/>
          <w:highlight w:val="none"/>
          <w:u w:val="single"/>
        </w:rPr>
        <w:t xml:space="preserve">                 </w:t>
      </w:r>
      <w:r>
        <w:rPr>
          <w:rFonts w:hint="eastAsia" w:ascii="宋体" w:hAnsi="宋体" w:cs="宋体"/>
          <w:color w:val="auto"/>
          <w:sz w:val="24"/>
          <w:highlight w:val="none"/>
        </w:rPr>
        <w:t>（盖章）</w:t>
      </w:r>
    </w:p>
    <w:p>
      <w:pPr>
        <w:spacing w:line="400" w:lineRule="exact"/>
        <w:ind w:firstLine="240"/>
        <w:jc w:val="right"/>
        <w:rPr>
          <w:rFonts w:asci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400" w:lineRule="exact"/>
        <w:ind w:firstLine="240"/>
        <w:rPr>
          <w:rFonts w:ascii="宋体" w:cs="宋体"/>
          <w:color w:val="auto"/>
          <w:sz w:val="24"/>
          <w:highlight w:val="none"/>
        </w:rPr>
      </w:pPr>
    </w:p>
    <w:tbl>
      <w:tblPr>
        <w:tblStyle w:val="16"/>
        <w:tblW w:w="0" w:type="auto"/>
        <w:tblInd w:w="675" w:type="dxa"/>
        <w:tblLayout w:type="fixed"/>
        <w:tblCellMar>
          <w:top w:w="0" w:type="dxa"/>
          <w:left w:w="108" w:type="dxa"/>
          <w:bottom w:w="0" w:type="dxa"/>
          <w:right w:w="108" w:type="dxa"/>
        </w:tblCellMar>
      </w:tblPr>
      <w:tblGrid>
        <w:gridCol w:w="7299"/>
      </w:tblGrid>
      <w:tr>
        <w:tblPrEx>
          <w:tblCellMar>
            <w:top w:w="0" w:type="dxa"/>
            <w:left w:w="108" w:type="dxa"/>
            <w:bottom w:w="0" w:type="dxa"/>
            <w:right w:w="108" w:type="dxa"/>
          </w:tblCellMar>
        </w:tblPrEx>
        <w:trPr>
          <w:trHeight w:val="3939" w:hRule="atLeast"/>
        </w:trPr>
        <w:tc>
          <w:tcPr>
            <w:tcW w:w="729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ind w:left="5250" w:firstLine="480" w:firstLineChars="200"/>
              <w:rPr>
                <w:rFonts w:ascii="宋体" w:cs="宋体"/>
                <w:color w:val="auto"/>
                <w:sz w:val="24"/>
                <w:highlight w:val="none"/>
              </w:rPr>
            </w:pPr>
            <w:r>
              <w:rPr>
                <w:rFonts w:ascii="宋体" w:hAnsi="宋体" w:cs="宋体"/>
                <w:color w:val="auto"/>
                <w:sz w:val="24"/>
                <w:highlight w:val="none"/>
              </w:rPr>
              <w:t xml:space="preserve">            </w:t>
            </w:r>
          </w:p>
          <w:p>
            <w:pPr>
              <w:adjustRightInd w:val="0"/>
              <w:snapToGrid w:val="0"/>
              <w:spacing w:line="400" w:lineRule="exact"/>
              <w:ind w:firstLine="240"/>
              <w:jc w:val="center"/>
              <w:rPr>
                <w:rFonts w:ascii="宋体" w:cs="宋体"/>
                <w:color w:val="auto"/>
                <w:sz w:val="24"/>
                <w:highlight w:val="none"/>
              </w:rPr>
            </w:pPr>
            <w:r>
              <w:rPr>
                <w:rFonts w:hint="eastAsia" w:ascii="宋体" w:hAnsi="宋体" w:cs="宋体"/>
                <w:color w:val="auto"/>
                <w:sz w:val="24"/>
                <w:highlight w:val="none"/>
              </w:rPr>
              <w:t>法定代表人身份证复印件黏贴处（正、反面）</w:t>
            </w: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tc>
      </w:tr>
    </w:tbl>
    <w:p>
      <w:pPr>
        <w:topLinePunct/>
        <w:spacing w:line="400" w:lineRule="exact"/>
        <w:jc w:val="center"/>
        <w:rPr>
          <w:rFonts w:ascii="宋体" w:cs="宋体"/>
          <w:color w:val="auto"/>
          <w:highlight w:val="none"/>
        </w:rPr>
      </w:pPr>
      <w:r>
        <w:rPr>
          <w:rFonts w:ascii="宋体" w:cs="宋体"/>
          <w:color w:val="auto"/>
          <w:highlight w:val="none"/>
        </w:rPr>
        <w:br w:type="page"/>
      </w:r>
      <w:bookmarkStart w:id="20" w:name="_Toc498368699"/>
      <w:bookmarkStart w:id="21" w:name="_Toc413527445"/>
      <w:bookmarkStart w:id="22" w:name="_Toc413527446"/>
      <w:bookmarkStart w:id="23" w:name="_Toc498369915"/>
      <w:bookmarkStart w:id="24" w:name="_Toc498369987"/>
    </w:p>
    <w:p>
      <w:pPr>
        <w:topLinePunct/>
        <w:spacing w:line="400" w:lineRule="exact"/>
        <w:jc w:val="center"/>
        <w:rPr>
          <w:rFonts w:ascii="宋体" w:cs="宋体"/>
          <w:color w:val="auto"/>
          <w:highlight w:val="none"/>
        </w:rPr>
      </w:pPr>
    </w:p>
    <w:p>
      <w:pPr>
        <w:topLinePunct/>
        <w:spacing w:line="400" w:lineRule="exact"/>
        <w:jc w:val="center"/>
        <w:rPr>
          <w:rFonts w:ascii="宋体" w:hAnsi="宋体" w:cs="宋体"/>
          <w:b/>
          <w:color w:val="auto"/>
          <w:sz w:val="24"/>
          <w:highlight w:val="none"/>
        </w:rPr>
      </w:pPr>
      <w:r>
        <w:rPr>
          <w:rFonts w:hint="eastAsia" w:ascii="宋体" w:hAnsi="宋体" w:cs="宋体"/>
          <w:b/>
          <w:color w:val="auto"/>
          <w:sz w:val="36"/>
          <w:szCs w:val="36"/>
          <w:highlight w:val="none"/>
        </w:rPr>
        <w:t>二-2、法定代表人授权委托书</w:t>
      </w:r>
      <w:bookmarkEnd w:id="20"/>
      <w:bookmarkEnd w:id="21"/>
      <w:bookmarkEnd w:id="22"/>
      <w:bookmarkEnd w:id="23"/>
      <w:bookmarkEnd w:id="24"/>
    </w:p>
    <w:p>
      <w:pPr>
        <w:spacing w:line="400" w:lineRule="exact"/>
        <w:ind w:firstLine="280"/>
        <w:rPr>
          <w:rFonts w:ascii="宋体" w:cs="宋体"/>
          <w:color w:val="auto"/>
          <w:kern w:val="44"/>
          <w:sz w:val="28"/>
          <w:szCs w:val="28"/>
          <w:highlight w:val="none"/>
        </w:rPr>
      </w:pPr>
    </w:p>
    <w:p>
      <w:pPr>
        <w:topLinePunct/>
        <w:spacing w:line="400" w:lineRule="exact"/>
        <w:ind w:firstLine="720" w:firstLineChars="300"/>
        <w:rPr>
          <w:rFonts w:ascii="宋体" w:cs="宋体"/>
          <w:color w:val="auto"/>
          <w:sz w:val="24"/>
          <w:highlight w:val="none"/>
        </w:rPr>
      </w:pPr>
      <w:r>
        <w:rPr>
          <w:rFonts w:hint="eastAsia" w:ascii="宋体" w:hAnsi="宋体" w:cs="宋体"/>
          <w:color w:val="auto"/>
          <w:sz w:val="24"/>
          <w:highlight w:val="none"/>
        </w:rPr>
        <w:t>本人</w:t>
      </w:r>
      <w:r>
        <w:rPr>
          <w:rFonts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（投标人名称）的法定代表人，现委托</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（姓名）为我方代理人。代理人根据授权，以我方名义签署、澄清、说明、补正、递交、撤回、修改</w:t>
      </w:r>
      <w:r>
        <w:rPr>
          <w:rFonts w:ascii="宋体" w:hAnsi="宋体" w:cs="宋体"/>
          <w:color w:val="auto"/>
          <w:sz w:val="24"/>
          <w:highlight w:val="none"/>
          <w:u w:val="single"/>
        </w:rPr>
        <w:t xml:space="preserve">           </w:t>
      </w:r>
      <w:r>
        <w:rPr>
          <w:rFonts w:hint="eastAsia" w:ascii="宋体" w:hAnsi="宋体" w:cs="宋体"/>
          <w:color w:val="auto"/>
          <w:sz w:val="24"/>
          <w:highlight w:val="none"/>
        </w:rPr>
        <w:t>（项目名称）的投标文件、签订合同和处理有关事宜，其法律后果由我方承担。</w:t>
      </w:r>
    </w:p>
    <w:p>
      <w:pPr>
        <w:spacing w:line="400" w:lineRule="exact"/>
        <w:ind w:firstLine="720" w:firstLineChars="300"/>
        <w:rPr>
          <w:rFonts w:ascii="宋体" w:cs="宋体"/>
          <w:color w:val="auto"/>
          <w:sz w:val="24"/>
          <w:highlight w:val="none"/>
        </w:rPr>
      </w:pPr>
      <w:r>
        <w:rPr>
          <w:rFonts w:hint="eastAsia" w:ascii="宋体" w:hAnsi="宋体" w:cs="宋体"/>
          <w:color w:val="auto"/>
          <w:sz w:val="24"/>
          <w:highlight w:val="none"/>
        </w:rPr>
        <w:t>委托期限：</w:t>
      </w:r>
      <w:r>
        <w:rPr>
          <w:rFonts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400" w:lineRule="exact"/>
        <w:ind w:firstLine="720" w:firstLineChars="300"/>
        <w:rPr>
          <w:rFonts w:ascii="宋体" w:cs="宋体"/>
          <w:color w:val="auto"/>
          <w:sz w:val="24"/>
          <w:highlight w:val="none"/>
        </w:rPr>
      </w:pPr>
      <w:r>
        <w:rPr>
          <w:rFonts w:hint="eastAsia" w:ascii="宋体" w:hAnsi="宋体" w:cs="宋体"/>
          <w:color w:val="auto"/>
          <w:sz w:val="24"/>
          <w:highlight w:val="none"/>
        </w:rPr>
        <w:t>代理人无转委托权。</w:t>
      </w:r>
    </w:p>
    <w:p>
      <w:pPr>
        <w:spacing w:line="400" w:lineRule="exact"/>
        <w:rPr>
          <w:rFonts w:ascii="宋体" w:cs="宋体"/>
          <w:color w:val="auto"/>
          <w:sz w:val="24"/>
          <w:highlight w:val="none"/>
        </w:rPr>
      </w:pPr>
      <w:r>
        <w:rPr>
          <w:rFonts w:hint="eastAsia" w:ascii="宋体" w:hAnsi="宋体" w:cs="宋体"/>
          <w:color w:val="auto"/>
          <w:sz w:val="24"/>
          <w:highlight w:val="none"/>
        </w:rPr>
        <w:t xml:space="preserve">      附：法定代表人身份证明</w:t>
      </w:r>
    </w:p>
    <w:p>
      <w:pPr>
        <w:spacing w:line="400" w:lineRule="exact"/>
        <w:ind w:firstLine="240"/>
        <w:rPr>
          <w:rFonts w:ascii="宋体" w:cs="宋体"/>
          <w:color w:val="auto"/>
          <w:sz w:val="24"/>
          <w:highlight w:val="none"/>
        </w:rPr>
      </w:pPr>
    </w:p>
    <w:p>
      <w:pPr>
        <w:spacing w:line="400" w:lineRule="exact"/>
        <w:ind w:firstLine="240"/>
        <w:rPr>
          <w:rFonts w:ascii="宋体" w:cs="宋体"/>
          <w:color w:val="auto"/>
          <w:sz w:val="24"/>
          <w:highlight w:val="none"/>
        </w:rPr>
      </w:pPr>
      <w:r>
        <w:rPr>
          <w:rFonts w:hint="eastAsia" w:ascii="宋体" w:hAnsi="宋体" w:cs="宋体"/>
          <w:color w:val="auto"/>
          <w:sz w:val="24"/>
          <w:highlight w:val="none"/>
        </w:rPr>
        <w:t>投标人：</w:t>
      </w:r>
      <w:r>
        <w:rPr>
          <w:rFonts w:ascii="宋体" w:hAnsi="宋体" w:cs="宋体"/>
          <w:color w:val="auto"/>
          <w:sz w:val="24"/>
          <w:highlight w:val="none"/>
          <w:u w:val="single"/>
        </w:rPr>
        <w:t xml:space="preserve">                               </w:t>
      </w:r>
      <w:r>
        <w:rPr>
          <w:rFonts w:hint="eastAsia" w:ascii="宋体" w:hAnsi="宋体" w:cs="宋体"/>
          <w:color w:val="auto"/>
          <w:sz w:val="24"/>
          <w:highlight w:val="none"/>
        </w:rPr>
        <w:t>（盖章）</w:t>
      </w:r>
    </w:p>
    <w:p>
      <w:pPr>
        <w:spacing w:line="400" w:lineRule="exact"/>
        <w:ind w:firstLine="240"/>
        <w:rPr>
          <w:rFonts w:ascii="宋体" w:cs="宋体"/>
          <w:color w:val="auto"/>
          <w:sz w:val="24"/>
          <w:highlight w:val="none"/>
        </w:rPr>
      </w:pPr>
      <w:r>
        <w:rPr>
          <w:rFonts w:hint="eastAsia" w:ascii="宋体" w:hAnsi="宋体" w:cs="宋体"/>
          <w:color w:val="auto"/>
          <w:sz w:val="24"/>
          <w:highlight w:val="none"/>
        </w:rPr>
        <w:t>法定代表人：</w:t>
      </w:r>
      <w:r>
        <w:rPr>
          <w:rFonts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400" w:lineRule="exact"/>
        <w:ind w:firstLine="240"/>
        <w:rPr>
          <w:rFonts w:ascii="宋体" w:hAnsi="宋体" w:cs="宋体"/>
          <w:color w:val="auto"/>
          <w:sz w:val="24"/>
          <w:highlight w:val="none"/>
          <w:u w:val="single"/>
        </w:rPr>
      </w:pPr>
      <w:r>
        <w:rPr>
          <w:rFonts w:hint="eastAsia" w:ascii="宋体" w:hAnsi="宋体" w:cs="宋体"/>
          <w:color w:val="auto"/>
          <w:sz w:val="24"/>
          <w:highlight w:val="none"/>
        </w:rPr>
        <w:t>身份证号码：</w:t>
      </w:r>
      <w:r>
        <w:rPr>
          <w:rFonts w:ascii="宋体" w:hAnsi="宋体" w:cs="宋体"/>
          <w:color w:val="auto"/>
          <w:sz w:val="24"/>
          <w:highlight w:val="none"/>
          <w:u w:val="single"/>
        </w:rPr>
        <w:t xml:space="preserve">                            </w:t>
      </w:r>
    </w:p>
    <w:p>
      <w:pPr>
        <w:spacing w:line="400" w:lineRule="exact"/>
        <w:ind w:firstLine="240"/>
        <w:rPr>
          <w:rFonts w:ascii="宋体" w:hAnsi="宋体" w:cs="宋体"/>
          <w:color w:val="auto"/>
          <w:sz w:val="24"/>
          <w:highlight w:val="none"/>
        </w:rPr>
      </w:pPr>
      <w:r>
        <w:rPr>
          <w:rFonts w:hint="eastAsia" w:ascii="宋体" w:hAnsi="宋体" w:cs="宋体"/>
          <w:color w:val="auto"/>
          <w:sz w:val="24"/>
          <w:highlight w:val="none"/>
        </w:rPr>
        <w:t>委托的代理人：</w:t>
      </w:r>
      <w:r>
        <w:rPr>
          <w:rFonts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400" w:lineRule="exact"/>
        <w:ind w:firstLine="2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400" w:lineRule="exact"/>
        <w:ind w:firstLine="240"/>
        <w:rPr>
          <w:rFonts w:ascii="宋体" w:hAnsi="宋体" w:cs="宋体"/>
          <w:color w:val="auto"/>
          <w:sz w:val="24"/>
          <w:highlight w:val="none"/>
          <w:u w:val="single"/>
        </w:rPr>
      </w:pPr>
      <w:r>
        <w:rPr>
          <w:rFonts w:hint="eastAsia" w:ascii="宋体" w:hAnsi="宋体" w:cs="宋体"/>
          <w:color w:val="auto"/>
          <w:sz w:val="24"/>
          <w:highlight w:val="none"/>
        </w:rPr>
        <w:t>手机号码：</w:t>
      </w:r>
      <w:r>
        <w:rPr>
          <w:rFonts w:hint="eastAsia" w:ascii="宋体" w:hAnsi="宋体" w:cs="宋体"/>
          <w:color w:val="auto"/>
          <w:sz w:val="24"/>
          <w:highlight w:val="none"/>
          <w:u w:val="single"/>
        </w:rPr>
        <w:t xml:space="preserve">                              </w:t>
      </w:r>
    </w:p>
    <w:p>
      <w:pPr>
        <w:spacing w:line="400" w:lineRule="exact"/>
        <w:ind w:firstLine="240"/>
        <w:rPr>
          <w:rFonts w:ascii="宋体" w:hAnsi="宋体" w:cs="宋体"/>
          <w:color w:val="auto"/>
          <w:sz w:val="24"/>
          <w:highlight w:val="none"/>
          <w:u w:val="single"/>
        </w:rPr>
      </w:pPr>
      <w:r>
        <w:rPr>
          <w:rFonts w:hint="eastAsia" w:ascii="宋体" w:hAnsi="宋体" w:cs="宋体"/>
          <w:color w:val="auto"/>
          <w:sz w:val="24"/>
          <w:highlight w:val="none"/>
        </w:rPr>
        <w:t>电子邮箱：</w:t>
      </w:r>
      <w:r>
        <w:rPr>
          <w:rFonts w:hint="eastAsia" w:ascii="宋体" w:hAnsi="宋体" w:cs="宋体"/>
          <w:color w:val="auto"/>
          <w:sz w:val="24"/>
          <w:highlight w:val="none"/>
          <w:u w:val="single"/>
        </w:rPr>
        <w:t xml:space="preserve">                              </w:t>
      </w:r>
    </w:p>
    <w:p>
      <w:pPr>
        <w:spacing w:line="400" w:lineRule="exact"/>
        <w:ind w:firstLine="2640" w:firstLineChars="1100"/>
        <w:jc w:val="right"/>
        <w:rPr>
          <w:rFonts w:ascii="宋体" w:cs="宋体"/>
          <w:color w:val="auto"/>
          <w:sz w:val="24"/>
          <w:highlight w:val="none"/>
        </w:rPr>
      </w:pP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p>
    <w:p>
      <w:pPr>
        <w:spacing w:line="400" w:lineRule="exact"/>
        <w:rPr>
          <w:rFonts w:ascii="宋体" w:cs="宋体"/>
          <w:color w:val="auto"/>
          <w:sz w:val="24"/>
          <w:highlight w:val="none"/>
        </w:rPr>
      </w:pPr>
    </w:p>
    <w:tbl>
      <w:tblPr>
        <w:tblStyle w:val="16"/>
        <w:tblpPr w:leftFromText="180" w:rightFromText="180" w:vertAnchor="text" w:tblpY="1"/>
        <w:tblOverlap w:val="never"/>
        <w:tblW w:w="0" w:type="auto"/>
        <w:tblInd w:w="0" w:type="dxa"/>
        <w:tblLayout w:type="fixed"/>
        <w:tblCellMar>
          <w:top w:w="0" w:type="dxa"/>
          <w:left w:w="108" w:type="dxa"/>
          <w:bottom w:w="0" w:type="dxa"/>
          <w:right w:w="108" w:type="dxa"/>
        </w:tblCellMar>
      </w:tblPr>
      <w:tblGrid>
        <w:gridCol w:w="7229"/>
      </w:tblGrid>
      <w:tr>
        <w:tblPrEx>
          <w:tblCellMar>
            <w:top w:w="0" w:type="dxa"/>
            <w:left w:w="108" w:type="dxa"/>
            <w:bottom w:w="0" w:type="dxa"/>
            <w:right w:w="108" w:type="dxa"/>
          </w:tblCellMar>
        </w:tblPrEx>
        <w:trPr>
          <w:trHeight w:val="3662" w:hRule="atLeast"/>
        </w:trPr>
        <w:tc>
          <w:tcPr>
            <w:tcW w:w="7229" w:type="dxa"/>
            <w:tcBorders>
              <w:top w:val="single" w:color="auto" w:sz="4" w:space="0"/>
              <w:left w:val="single" w:color="auto" w:sz="4" w:space="0"/>
              <w:bottom w:val="single" w:color="auto" w:sz="4" w:space="0"/>
              <w:right w:val="single" w:color="auto" w:sz="4" w:space="0"/>
            </w:tcBorders>
          </w:tcPr>
          <w:p>
            <w:pPr>
              <w:adjustRightInd w:val="0"/>
              <w:snapToGrid w:val="0"/>
              <w:spacing w:line="400" w:lineRule="exact"/>
              <w:ind w:left="5250" w:firstLine="480" w:firstLineChars="200"/>
              <w:rPr>
                <w:rFonts w:ascii="宋体" w:cs="宋体"/>
                <w:color w:val="auto"/>
                <w:sz w:val="24"/>
                <w:highlight w:val="none"/>
              </w:rPr>
            </w:pPr>
            <w:r>
              <w:rPr>
                <w:rFonts w:ascii="宋体" w:hAnsi="宋体" w:cs="宋体"/>
                <w:color w:val="auto"/>
                <w:sz w:val="24"/>
                <w:highlight w:val="none"/>
              </w:rPr>
              <w:t xml:space="preserve">            </w:t>
            </w:r>
          </w:p>
          <w:p>
            <w:pPr>
              <w:adjustRightInd w:val="0"/>
              <w:snapToGrid w:val="0"/>
              <w:spacing w:line="400" w:lineRule="exact"/>
              <w:ind w:firstLine="240"/>
              <w:jc w:val="center"/>
              <w:rPr>
                <w:rFonts w:ascii="宋体" w:cs="宋体"/>
                <w:color w:val="auto"/>
                <w:sz w:val="24"/>
                <w:highlight w:val="none"/>
              </w:rPr>
            </w:pPr>
            <w:r>
              <w:rPr>
                <w:rFonts w:hint="eastAsia" w:ascii="宋体" w:hAnsi="宋体" w:cs="宋体"/>
                <w:color w:val="auto"/>
                <w:sz w:val="24"/>
                <w:highlight w:val="none"/>
              </w:rPr>
              <w:t>委托代理人身份证复印件黏贴处（正、反面）</w:t>
            </w: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ind w:left="5250" w:firstLine="480" w:firstLineChars="200"/>
              <w:rPr>
                <w:rFonts w:ascii="宋体" w:cs="宋体"/>
                <w:color w:val="auto"/>
                <w:sz w:val="24"/>
                <w:highlight w:val="none"/>
              </w:rPr>
            </w:pPr>
          </w:p>
          <w:p>
            <w:pPr>
              <w:adjustRightInd w:val="0"/>
              <w:snapToGrid w:val="0"/>
              <w:spacing w:line="400" w:lineRule="exact"/>
              <w:rPr>
                <w:rFonts w:ascii="宋体" w:cs="宋体"/>
                <w:color w:val="auto"/>
                <w:sz w:val="24"/>
                <w:highlight w:val="none"/>
              </w:rPr>
            </w:pPr>
            <w:r>
              <w:rPr>
                <w:rFonts w:hint="eastAsia" w:ascii="宋体" w:cs="宋体"/>
                <w:color w:val="auto"/>
                <w:sz w:val="24"/>
                <w:highlight w:val="none"/>
              </w:rPr>
              <w:t>注：如投标文件由委托代理人签字或盖章的，投标文件必须附此授权委托书。</w:t>
            </w:r>
          </w:p>
          <w:p>
            <w:pPr>
              <w:adjustRightInd w:val="0"/>
              <w:snapToGrid w:val="0"/>
              <w:spacing w:line="400" w:lineRule="exact"/>
              <w:ind w:left="5250" w:firstLine="480" w:firstLineChars="200"/>
              <w:rPr>
                <w:rFonts w:ascii="宋体" w:cs="宋体"/>
                <w:color w:val="auto"/>
                <w:sz w:val="24"/>
                <w:highlight w:val="none"/>
              </w:rPr>
            </w:pPr>
          </w:p>
        </w:tc>
      </w:tr>
    </w:tbl>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jc w:val="left"/>
        <w:rPr>
          <w:rFonts w:ascii="宋体"/>
          <w:b/>
          <w:color w:val="auto"/>
          <w:szCs w:val="21"/>
          <w:highlight w:val="none"/>
        </w:rPr>
      </w:pPr>
    </w:p>
    <w:p>
      <w:pPr>
        <w:spacing w:line="400" w:lineRule="exact"/>
        <w:ind w:firstLine="562" w:firstLineChars="200"/>
        <w:rPr>
          <w:rFonts w:ascii="宋体" w:hAnsi="宋体" w:cs="宋体"/>
          <w:b/>
          <w:color w:val="auto"/>
          <w:sz w:val="28"/>
          <w:szCs w:val="28"/>
          <w:highlight w:val="none"/>
        </w:rPr>
      </w:pPr>
    </w:p>
    <w:p>
      <w:pPr>
        <w:spacing w:line="400" w:lineRule="exact"/>
        <w:ind w:firstLine="562" w:firstLineChars="200"/>
        <w:rPr>
          <w:rFonts w:ascii="宋体" w:hAnsi="宋体" w:cs="宋体"/>
          <w:b/>
          <w:color w:val="auto"/>
          <w:sz w:val="28"/>
          <w:szCs w:val="28"/>
          <w:highlight w:val="none"/>
        </w:rPr>
      </w:pPr>
    </w:p>
    <w:p>
      <w:pPr>
        <w:spacing w:line="400" w:lineRule="exact"/>
        <w:ind w:firstLine="562" w:firstLineChars="200"/>
        <w:rPr>
          <w:rFonts w:ascii="宋体" w:hAnsi="宋体" w:cs="宋体"/>
          <w:b/>
          <w:color w:val="auto"/>
          <w:sz w:val="28"/>
          <w:szCs w:val="28"/>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p>
    <w:p>
      <w:pPr>
        <w:spacing w:line="40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三、投标报价表</w:t>
      </w:r>
    </w:p>
    <w:p>
      <w:pPr>
        <w:spacing w:line="400" w:lineRule="exact"/>
        <w:ind w:firstLine="482" w:firstLineChars="200"/>
        <w:rPr>
          <w:rFonts w:ascii="宋体" w:hAnsi="宋体" w:cs="宋体"/>
          <w:b/>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w:t>
      </w:r>
      <w:r>
        <w:rPr>
          <w:rFonts w:hint="eastAsia" w:ascii="宋体" w:hAnsi="宋体" w:cs="宋体"/>
          <w:b/>
          <w:color w:val="auto"/>
          <w:sz w:val="24"/>
          <w:highlight w:val="none"/>
        </w:rPr>
        <w:tab/>
      </w:r>
      <w:r>
        <w:rPr>
          <w:rFonts w:hint="eastAsia" w:ascii="宋体" w:hAnsi="宋体" w:cs="宋体"/>
          <w:b/>
          <w:color w:val="auto"/>
          <w:sz w:val="24"/>
          <w:highlight w:val="none"/>
        </w:rPr>
        <w:t>总则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1.1一旦投标人对本投标报价表作出报价并为招标人所接纳后，本投标报价表就成为一份具有约束力的合同文件的一部分，用来作为合同付款的依据。</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1.2报价应包含本项目所有税项。如招标人根据法规和国家有关规定获减免税或退税，利益完全归买方。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1.3投标人应仔细阅读所有招标文件，填报自己理解并认为正确的报价。除合同规定的调整外，投标人对实际工作及工作量的差异的索赔将不获考虑。</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1.4本投标报价表中所有金额和单价以人民币结算。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1.5本投标报价表中的金额应包括在项目整个实施过程中，根据合同所需要的所有成本和费用。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1.6本总则上列各条中提及的“投标人”在合同执行过程中应作为“卖方”解释。</w:t>
      </w:r>
    </w:p>
    <w:p>
      <w:pPr>
        <w:spacing w:line="4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2</w:t>
      </w:r>
      <w:r>
        <w:rPr>
          <w:rFonts w:hint="eastAsia" w:ascii="宋体" w:hAnsi="宋体" w:cs="宋体"/>
          <w:b/>
          <w:bCs/>
          <w:color w:val="auto"/>
          <w:sz w:val="24"/>
          <w:highlight w:val="none"/>
        </w:rPr>
        <w:tab/>
      </w:r>
      <w:r>
        <w:rPr>
          <w:rFonts w:hint="eastAsia" w:ascii="宋体" w:hAnsi="宋体" w:cs="宋体"/>
          <w:b/>
          <w:bCs/>
          <w:color w:val="auto"/>
          <w:sz w:val="24"/>
          <w:highlight w:val="none"/>
        </w:rPr>
        <w:t>投标报价表包含以下各表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(1)投标报价汇总表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(2)投标分项报价表</w:t>
      </w: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ind w:firstLine="210"/>
        <w:rPr>
          <w:color w:val="auto"/>
          <w:highlight w:val="none"/>
        </w:rPr>
      </w:pPr>
    </w:p>
    <w:p>
      <w:pPr>
        <w:spacing w:line="400" w:lineRule="exact"/>
        <w:rPr>
          <w:color w:val="auto"/>
          <w:highlight w:val="none"/>
        </w:rPr>
      </w:pPr>
    </w:p>
    <w:p>
      <w:pPr>
        <w:spacing w:line="400" w:lineRule="exact"/>
        <w:rPr>
          <w:color w:val="auto"/>
          <w:highlight w:val="none"/>
        </w:rPr>
      </w:pPr>
    </w:p>
    <w:p>
      <w:pPr>
        <w:spacing w:line="400" w:lineRule="exact"/>
        <w:rPr>
          <w:color w:val="auto"/>
          <w:highlight w:val="none"/>
        </w:rPr>
      </w:pPr>
    </w:p>
    <w:p>
      <w:pPr>
        <w:spacing w:line="400" w:lineRule="exact"/>
        <w:rPr>
          <w:color w:val="auto"/>
          <w:highlight w:val="none"/>
        </w:rPr>
      </w:pPr>
    </w:p>
    <w:p>
      <w:pPr>
        <w:rPr>
          <w:rFonts w:ascii="宋体" w:hAnsi="宋体" w:cs="宋体"/>
          <w:b/>
          <w:color w:val="auto"/>
          <w:sz w:val="36"/>
          <w:szCs w:val="36"/>
          <w:highlight w:val="none"/>
        </w:rPr>
      </w:pPr>
      <w:r>
        <w:rPr>
          <w:rFonts w:hint="eastAsia" w:ascii="宋体" w:hAnsi="宋体" w:cs="宋体"/>
          <w:b/>
          <w:color w:val="auto"/>
          <w:sz w:val="36"/>
          <w:szCs w:val="36"/>
          <w:highlight w:val="none"/>
        </w:rPr>
        <w:br w:type="page"/>
      </w:r>
    </w:p>
    <w:p>
      <w:pPr>
        <w:rPr>
          <w:color w:val="auto"/>
          <w:highlight w:val="none"/>
        </w:rPr>
      </w:pPr>
    </w:p>
    <w:p>
      <w:pPr>
        <w:spacing w:line="360" w:lineRule="auto"/>
        <w:ind w:firstLine="321"/>
        <w:jc w:val="center"/>
        <w:rPr>
          <w:rFonts w:ascii="宋体" w:hAnsi="宋体" w:cs="宋体"/>
          <w:b/>
          <w:color w:val="auto"/>
          <w:sz w:val="32"/>
          <w:szCs w:val="32"/>
          <w:highlight w:val="none"/>
        </w:rPr>
      </w:pPr>
      <w:r>
        <w:rPr>
          <w:rFonts w:hint="eastAsia" w:ascii="宋体" w:hAnsi="宋体" w:cs="宋体"/>
          <w:b/>
          <w:color w:val="auto"/>
          <w:sz w:val="32"/>
          <w:szCs w:val="32"/>
          <w:highlight w:val="none"/>
        </w:rPr>
        <w:t>3.1 投标报价汇总表</w:t>
      </w:r>
    </w:p>
    <w:p>
      <w:pPr>
        <w:spacing w:line="360" w:lineRule="auto"/>
        <w:ind w:firstLine="210"/>
        <w:rPr>
          <w:rFonts w:ascii="宋体" w:hAnsi="宋体" w:cs="宋体"/>
          <w:color w:val="auto"/>
          <w:highlight w:val="none"/>
        </w:rPr>
      </w:pPr>
    </w:p>
    <w:p>
      <w:pPr>
        <w:spacing w:line="360" w:lineRule="auto"/>
        <w:ind w:firstLine="220"/>
        <w:jc w:val="right"/>
        <w:rPr>
          <w:rFonts w:ascii="宋体" w:hAnsi="宋体" w:cs="宋体"/>
          <w:color w:val="auto"/>
          <w:sz w:val="22"/>
          <w:highlight w:val="none"/>
        </w:rPr>
      </w:pPr>
      <w:r>
        <w:rPr>
          <w:rFonts w:hint="eastAsia" w:ascii="宋体" w:hAnsi="宋体" w:cs="宋体"/>
          <w:color w:val="auto"/>
          <w:sz w:val="22"/>
          <w:highlight w:val="none"/>
        </w:rPr>
        <w:t>[货币单位：人民币元]</w:t>
      </w:r>
    </w:p>
    <w:p>
      <w:pPr>
        <w:ind w:firstLine="210" w:firstLineChars="100"/>
        <w:rPr>
          <w:color w:val="auto"/>
          <w:highlight w:val="none"/>
        </w:rPr>
      </w:pPr>
    </w:p>
    <w:p>
      <w:pPr>
        <w:spacing w:before="212" w:after="120" w:line="228" w:lineRule="auto"/>
        <w:ind w:left="120"/>
        <w:rPr>
          <w:rFonts w:ascii="宋体" w:hAnsi="宋体" w:cs="宋体"/>
          <w:color w:val="auto"/>
          <w:szCs w:val="21"/>
          <w:highlight w:val="none"/>
        </w:rPr>
      </w:pPr>
      <w:r>
        <w:rPr>
          <w:rFonts w:hint="eastAsia" w:ascii="宋体" w:hAnsi="宋体" w:cs="宋体"/>
          <w:color w:val="auto"/>
          <w:spacing w:val="-2"/>
          <w:szCs w:val="21"/>
          <w:highlight w:val="none"/>
        </w:rPr>
        <w:t>项目名称：</w:t>
      </w:r>
      <w:r>
        <w:rPr>
          <w:rFonts w:hint="eastAsia" w:ascii="宋体" w:hAnsi="宋体" w:cs="宋体"/>
          <w:color w:val="auto"/>
          <w:spacing w:val="-2"/>
          <w:szCs w:val="21"/>
          <w:highlight w:val="none"/>
          <w:u w:val="single"/>
        </w:rPr>
        <w:t xml:space="preserve">                                   </w:t>
      </w:r>
      <w:r>
        <w:rPr>
          <w:rFonts w:hint="eastAsia" w:ascii="宋体" w:hAnsi="宋体" w:cs="宋体"/>
          <w:color w:val="auto"/>
          <w:spacing w:val="-2"/>
          <w:szCs w:val="21"/>
          <w:highlight w:val="none"/>
        </w:rPr>
        <w:t xml:space="preserve"> 招标编号：</w:t>
      </w:r>
      <w:r>
        <w:rPr>
          <w:rFonts w:hint="eastAsia" w:ascii="宋体" w:hAnsi="宋体" w:cs="宋体"/>
          <w:color w:val="auto"/>
          <w:spacing w:val="-2"/>
          <w:szCs w:val="21"/>
          <w:highlight w:val="none"/>
          <w:u w:val="single"/>
        </w:rPr>
        <w:t xml:space="preserve">                                  </w:t>
      </w:r>
    </w:p>
    <w:tbl>
      <w:tblPr>
        <w:tblStyle w:val="26"/>
        <w:tblW w:w="9281"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281"/>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36" w:hRule="atLeast"/>
        </w:trPr>
        <w:tc>
          <w:tcPr>
            <w:tcW w:w="9281" w:type="dxa"/>
            <w:tcBorders>
              <w:bottom w:val="single" w:color="000000" w:sz="4" w:space="0"/>
            </w:tcBorders>
          </w:tcPr>
          <w:p>
            <w:pPr>
              <w:spacing w:line="247" w:lineRule="auto"/>
              <w:rPr>
                <w:rFonts w:ascii="宋体" w:hAnsi="宋体" w:cs="宋体"/>
                <w:color w:val="auto"/>
                <w:szCs w:val="21"/>
                <w:highlight w:val="none"/>
              </w:rPr>
            </w:pPr>
          </w:p>
          <w:p>
            <w:pPr>
              <w:pStyle w:val="27"/>
              <w:spacing w:before="65" w:line="226" w:lineRule="auto"/>
              <w:ind w:left="115"/>
              <w:rPr>
                <w:color w:val="auto"/>
                <w:sz w:val="21"/>
                <w:szCs w:val="21"/>
                <w:highlight w:val="none"/>
                <w:lang w:eastAsia="zh-CN"/>
              </w:rPr>
            </w:pPr>
            <w:r>
              <w:rPr>
                <w:rFonts w:hint="eastAsia"/>
                <w:color w:val="auto"/>
                <w:spacing w:val="8"/>
                <w:sz w:val="21"/>
                <w:szCs w:val="21"/>
                <w:highlight w:val="none"/>
                <w:lang w:eastAsia="zh-CN"/>
              </w:rPr>
              <w:t>宁波机场集团有限公司印刷品采购项目（含税）投标总价（大写）：</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29" w:hRule="atLeast"/>
        </w:trPr>
        <w:tc>
          <w:tcPr>
            <w:tcW w:w="9281" w:type="dxa"/>
            <w:tcBorders>
              <w:top w:val="single" w:color="000000" w:sz="4" w:space="0"/>
              <w:bottom w:val="single" w:color="000000" w:sz="4" w:space="0"/>
            </w:tcBorders>
          </w:tcPr>
          <w:p>
            <w:pPr>
              <w:spacing w:line="246" w:lineRule="auto"/>
              <w:rPr>
                <w:rFonts w:ascii="宋体" w:hAnsi="宋体" w:cs="宋体"/>
                <w:color w:val="auto"/>
                <w:szCs w:val="21"/>
                <w:highlight w:val="none"/>
              </w:rPr>
            </w:pPr>
          </w:p>
          <w:p>
            <w:pPr>
              <w:pStyle w:val="27"/>
              <w:spacing w:before="65" w:line="226" w:lineRule="auto"/>
              <w:ind w:left="115"/>
              <w:rPr>
                <w:color w:val="auto"/>
                <w:sz w:val="21"/>
                <w:szCs w:val="21"/>
                <w:highlight w:val="none"/>
                <w:lang w:eastAsia="zh-CN"/>
              </w:rPr>
            </w:pPr>
            <w:r>
              <w:rPr>
                <w:rFonts w:hint="eastAsia"/>
                <w:color w:val="auto"/>
                <w:spacing w:val="8"/>
                <w:sz w:val="21"/>
                <w:szCs w:val="21"/>
                <w:highlight w:val="none"/>
                <w:lang w:eastAsia="zh-CN"/>
              </w:rPr>
              <w:t>宁波机场集团有限公司印刷品采购项目（含税）投标总价（小写）：</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29" w:hRule="atLeast"/>
        </w:trPr>
        <w:tc>
          <w:tcPr>
            <w:tcW w:w="9281" w:type="dxa"/>
            <w:tcBorders>
              <w:top w:val="single" w:color="000000" w:sz="4" w:space="0"/>
              <w:bottom w:val="single" w:color="000000" w:sz="4" w:space="0"/>
            </w:tcBorders>
          </w:tcPr>
          <w:p>
            <w:pPr>
              <w:spacing w:line="249" w:lineRule="auto"/>
              <w:rPr>
                <w:rFonts w:ascii="宋体" w:hAnsi="宋体" w:cs="宋体"/>
                <w:color w:val="auto"/>
                <w:szCs w:val="21"/>
                <w:highlight w:val="none"/>
              </w:rPr>
            </w:pPr>
          </w:p>
          <w:p>
            <w:pPr>
              <w:pStyle w:val="27"/>
              <w:spacing w:before="65" w:line="228" w:lineRule="auto"/>
              <w:ind w:left="105"/>
              <w:rPr>
                <w:color w:val="auto"/>
                <w:sz w:val="21"/>
                <w:szCs w:val="21"/>
                <w:highlight w:val="none"/>
              </w:rPr>
            </w:pPr>
            <w:r>
              <w:rPr>
                <w:rFonts w:hint="eastAsia"/>
                <w:color w:val="auto"/>
                <w:spacing w:val="5"/>
                <w:sz w:val="21"/>
                <w:szCs w:val="21"/>
                <w:highlight w:val="none"/>
              </w:rPr>
              <w:t>增值税税率</w:t>
            </w:r>
            <w:r>
              <w:rPr>
                <w:rFonts w:hint="eastAsia"/>
                <w:color w:val="auto"/>
                <w:spacing w:val="5"/>
                <w:sz w:val="21"/>
                <w:szCs w:val="21"/>
                <w:highlight w:val="none"/>
                <w:u w:val="single"/>
              </w:rPr>
              <w:t>：</w:t>
            </w:r>
            <w:r>
              <w:rPr>
                <w:rFonts w:hint="eastAsia"/>
                <w:color w:val="auto"/>
                <w:spacing w:val="11"/>
                <w:sz w:val="21"/>
                <w:szCs w:val="21"/>
                <w:highlight w:val="none"/>
                <w:u w:val="single"/>
              </w:rPr>
              <w:t xml:space="preserve">   </w:t>
            </w:r>
            <w:r>
              <w:rPr>
                <w:rFonts w:hint="eastAsia"/>
                <w:color w:val="auto"/>
                <w:spacing w:val="-97"/>
                <w:sz w:val="21"/>
                <w:szCs w:val="21"/>
                <w:highlight w:val="none"/>
              </w:rPr>
              <w:t xml:space="preserve"> </w:t>
            </w:r>
            <w:r>
              <w:rPr>
                <w:rFonts w:hint="eastAsia"/>
                <w:color w:val="auto"/>
                <w:spacing w:val="5"/>
                <w:sz w:val="21"/>
                <w:szCs w:val="21"/>
                <w:highlight w:val="none"/>
              </w:rPr>
              <w:t>%</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829" w:hRule="atLeast"/>
        </w:trPr>
        <w:tc>
          <w:tcPr>
            <w:tcW w:w="9281" w:type="dxa"/>
            <w:tcBorders>
              <w:top w:val="single" w:color="000000" w:sz="4" w:space="0"/>
              <w:bottom w:val="single" w:color="000000" w:sz="4" w:space="0"/>
            </w:tcBorders>
          </w:tcPr>
          <w:p>
            <w:pPr>
              <w:spacing w:line="255" w:lineRule="auto"/>
              <w:rPr>
                <w:rFonts w:ascii="宋体" w:hAnsi="宋体" w:cs="宋体"/>
                <w:color w:val="auto"/>
                <w:szCs w:val="21"/>
                <w:highlight w:val="none"/>
              </w:rPr>
            </w:pPr>
          </w:p>
          <w:p>
            <w:pPr>
              <w:pStyle w:val="27"/>
              <w:spacing w:before="65" w:line="226" w:lineRule="auto"/>
              <w:ind w:left="115"/>
              <w:rPr>
                <w:color w:val="auto"/>
                <w:sz w:val="21"/>
                <w:szCs w:val="21"/>
                <w:highlight w:val="none"/>
                <w:lang w:eastAsia="zh-CN"/>
              </w:rPr>
            </w:pPr>
            <w:r>
              <w:rPr>
                <w:rFonts w:hint="eastAsia"/>
                <w:color w:val="auto"/>
                <w:spacing w:val="8"/>
                <w:sz w:val="21"/>
                <w:szCs w:val="21"/>
                <w:highlight w:val="none"/>
                <w:lang w:eastAsia="zh-CN"/>
              </w:rPr>
              <w:t>宁波机场集团有限公司印刷品采购项目（不含税）投标总价（小写）：</w:t>
            </w:r>
          </w:p>
        </w:tc>
      </w:tr>
    </w:tbl>
    <w:p>
      <w:pPr>
        <w:spacing w:line="400" w:lineRule="exact"/>
        <w:rPr>
          <w:rFonts w:ascii="宋体" w:hAnsi="宋体" w:cs="宋体"/>
          <w:color w:val="auto"/>
          <w:szCs w:val="21"/>
          <w:highlight w:val="none"/>
        </w:rPr>
      </w:pPr>
      <w:r>
        <w:rPr>
          <w:rFonts w:hint="eastAsia" w:ascii="宋体" w:hAnsi="宋体" w:cs="宋体"/>
          <w:color w:val="auto"/>
          <w:szCs w:val="21"/>
          <w:highlight w:val="none"/>
        </w:rPr>
        <w:t>注：“本项目投标总价（含税） ”应与“投标函 ”中“本项目的投标总价（含税）” 一致。否则投标将被否决。增值税税率：按各投标人自身税务纳税情况自报。含税价 = 不含税价 ×（1+增值税税率），不含税价 = 含税价 ÷（1+增值税税率）。</w:t>
      </w:r>
    </w:p>
    <w:p>
      <w:pPr>
        <w:spacing w:line="400" w:lineRule="exact"/>
        <w:ind w:firstLine="420" w:firstLineChars="200"/>
        <w:rPr>
          <w:rFonts w:ascii="宋体" w:hAnsi="宋体" w:cs="宋体"/>
          <w:color w:val="auto"/>
          <w:szCs w:val="21"/>
          <w:highlight w:val="none"/>
        </w:rPr>
      </w:pPr>
    </w:p>
    <w:p>
      <w:pPr>
        <w:spacing w:line="400" w:lineRule="exact"/>
        <w:ind w:firstLine="420" w:firstLineChars="200"/>
        <w:rPr>
          <w:rFonts w:ascii="宋体" w:hAnsi="宋体" w:cs="宋体"/>
          <w:color w:val="auto"/>
          <w:szCs w:val="21"/>
          <w:highlight w:val="none"/>
        </w:rPr>
      </w:pPr>
    </w:p>
    <w:p>
      <w:pPr>
        <w:spacing w:line="400" w:lineRule="exact"/>
        <w:ind w:firstLine="420" w:firstLineChars="200"/>
        <w:rPr>
          <w:rFonts w:ascii="宋体" w:hAnsi="宋体" w:cs="宋体"/>
          <w:color w:val="auto"/>
          <w:szCs w:val="21"/>
          <w:highlight w:val="none"/>
        </w:rPr>
      </w:pPr>
    </w:p>
    <w:p>
      <w:pPr>
        <w:spacing w:line="400" w:lineRule="exact"/>
        <w:rPr>
          <w:rFonts w:ascii="宋体" w:hAnsi="宋体" w:cs="宋体"/>
          <w:color w:val="auto"/>
          <w:szCs w:val="21"/>
          <w:highlight w:val="none"/>
        </w:rPr>
      </w:pPr>
      <w:r>
        <w:rPr>
          <w:rFonts w:hint="eastAsia" w:ascii="宋体" w:hAnsi="宋体" w:cs="宋体"/>
          <w:color w:val="auto"/>
          <w:szCs w:val="21"/>
          <w:highlight w:val="none"/>
        </w:rPr>
        <w:t>投 标 人（盖章）：</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法定代表人或其授权代表（签字或盖章）：</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br w:type="page"/>
      </w:r>
    </w:p>
    <w:p>
      <w:pPr>
        <w:spacing w:line="228" w:lineRule="auto"/>
        <w:rPr>
          <w:rFonts w:ascii="宋体" w:hAnsi="宋体" w:cs="宋体"/>
          <w:color w:val="auto"/>
          <w:szCs w:val="21"/>
          <w:highlight w:val="none"/>
        </w:rPr>
        <w:sectPr>
          <w:headerReference r:id="rId9" w:type="default"/>
          <w:footerReference r:id="rId10" w:type="default"/>
          <w:pgSz w:w="11907" w:h="16840"/>
          <w:pgMar w:top="928" w:right="1169" w:bottom="882" w:left="1299" w:header="746" w:footer="720" w:gutter="0"/>
          <w:cols w:space="720" w:num="1"/>
        </w:sectPr>
      </w:pPr>
    </w:p>
    <w:p>
      <w:pPr>
        <w:spacing w:line="360" w:lineRule="auto"/>
        <w:ind w:firstLine="210"/>
        <w:jc w:val="center"/>
        <w:rPr>
          <w:rFonts w:ascii="宋体" w:hAnsi="宋体"/>
          <w:color w:val="auto"/>
          <w:kern w:val="0"/>
          <w:szCs w:val="21"/>
          <w:highlight w:val="none"/>
        </w:rPr>
      </w:pPr>
    </w:p>
    <w:p>
      <w:pPr>
        <w:spacing w:line="360" w:lineRule="auto"/>
        <w:ind w:firstLine="210"/>
        <w:jc w:val="center"/>
        <w:rPr>
          <w:b/>
          <w:color w:val="auto"/>
          <w:sz w:val="32"/>
          <w:highlight w:val="none"/>
        </w:rPr>
      </w:pPr>
      <w:r>
        <w:rPr>
          <w:rFonts w:hint="eastAsia"/>
          <w:color w:val="auto"/>
          <w:sz w:val="32"/>
          <w:highlight w:val="none"/>
        </w:rPr>
        <w:t>3</w:t>
      </w:r>
      <w:r>
        <w:rPr>
          <w:color w:val="auto"/>
          <w:sz w:val="32"/>
          <w:highlight w:val="none"/>
        </w:rPr>
        <w:t>.2</w:t>
      </w:r>
      <w:r>
        <w:rPr>
          <w:rFonts w:hint="eastAsia"/>
          <w:b/>
          <w:color w:val="auto"/>
          <w:sz w:val="32"/>
          <w:highlight w:val="none"/>
        </w:rPr>
        <w:t>投标分项报价表</w:t>
      </w:r>
    </w:p>
    <w:p>
      <w:pPr>
        <w:spacing w:line="360" w:lineRule="auto"/>
        <w:ind w:firstLine="220"/>
        <w:rPr>
          <w:rFonts w:ascii="宋体" w:hAnsi="宋体"/>
          <w:color w:val="auto"/>
          <w:sz w:val="22"/>
          <w:highlight w:val="none"/>
        </w:rPr>
      </w:pPr>
      <w:bookmarkStart w:id="25" w:name="_Toc498369917"/>
      <w:bookmarkStart w:id="26" w:name="_Toc498369989"/>
      <w:bookmarkStart w:id="27" w:name="_Toc498368701"/>
    </w:p>
    <w:tbl>
      <w:tblPr>
        <w:tblStyle w:val="16"/>
        <w:tblpPr w:leftFromText="180" w:rightFromText="180" w:vertAnchor="text" w:horzAnchor="page" w:tblpXSpec="center" w:tblpY="-47"/>
        <w:tblOverlap w:val="never"/>
        <w:tblW w:w="10981" w:type="dxa"/>
        <w:jc w:val="center"/>
        <w:tblLayout w:type="fixed"/>
        <w:tblCellMar>
          <w:top w:w="0" w:type="dxa"/>
          <w:left w:w="108" w:type="dxa"/>
          <w:bottom w:w="0" w:type="dxa"/>
          <w:right w:w="108" w:type="dxa"/>
        </w:tblCellMar>
      </w:tblPr>
      <w:tblGrid>
        <w:gridCol w:w="788"/>
        <w:gridCol w:w="1400"/>
        <w:gridCol w:w="3848"/>
        <w:gridCol w:w="1495"/>
        <w:gridCol w:w="1125"/>
        <w:gridCol w:w="1200"/>
        <w:gridCol w:w="1125"/>
      </w:tblGrid>
      <w:tr>
        <w:tblPrEx>
          <w:tblCellMar>
            <w:top w:w="0" w:type="dxa"/>
            <w:left w:w="108" w:type="dxa"/>
            <w:bottom w:w="0" w:type="dxa"/>
            <w:right w:w="108" w:type="dxa"/>
          </w:tblCellMar>
        </w:tblPrEx>
        <w:trPr>
          <w:trHeight w:val="734" w:hRule="atLeast"/>
          <w:jc w:val="center"/>
        </w:trPr>
        <w:tc>
          <w:tcPr>
            <w:tcW w:w="78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140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b/>
                <w:bCs/>
                <w:color w:val="auto"/>
                <w:kern w:val="0"/>
                <w:szCs w:val="21"/>
                <w:highlight w:val="none"/>
                <w:lang w:bidi="ar"/>
              </w:rPr>
              <w:t>物品名称</w:t>
            </w:r>
          </w:p>
        </w:tc>
        <w:tc>
          <w:tcPr>
            <w:tcW w:w="384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样张</w:t>
            </w:r>
          </w:p>
        </w:tc>
        <w:tc>
          <w:tcPr>
            <w:tcW w:w="14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备注</w:t>
            </w:r>
          </w:p>
        </w:tc>
        <w:tc>
          <w:tcPr>
            <w:tcW w:w="112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2</w:t>
            </w:r>
            <w:r>
              <w:rPr>
                <w:rFonts w:ascii="宋体" w:hAnsi="宋体" w:cs="宋体"/>
                <w:b/>
                <w:bCs/>
                <w:color w:val="auto"/>
                <w:kern w:val="0"/>
                <w:szCs w:val="21"/>
                <w:highlight w:val="none"/>
                <w:lang w:bidi="ar"/>
              </w:rPr>
              <w:t>024</w:t>
            </w:r>
            <w:r>
              <w:rPr>
                <w:rFonts w:hint="eastAsia" w:ascii="宋体" w:hAnsi="宋体" w:cs="宋体"/>
                <w:b/>
                <w:bCs/>
                <w:color w:val="auto"/>
                <w:kern w:val="0"/>
                <w:szCs w:val="21"/>
                <w:highlight w:val="none"/>
                <w:lang w:bidi="ar"/>
              </w:rPr>
              <w:t>年印刷量（预估）</w:t>
            </w:r>
          </w:p>
        </w:tc>
        <w:tc>
          <w:tcPr>
            <w:tcW w:w="120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b/>
                <w:bCs/>
                <w:color w:val="auto"/>
                <w:kern w:val="0"/>
                <w:sz w:val="20"/>
                <w:highlight w:val="none"/>
              </w:rPr>
            </w:pPr>
            <w:r>
              <w:rPr>
                <w:rFonts w:hint="eastAsia" w:ascii="宋体" w:hAnsi="宋体" w:cs="宋体"/>
                <w:b/>
                <w:bCs/>
                <w:color w:val="auto"/>
                <w:kern w:val="0"/>
                <w:sz w:val="20"/>
                <w:highlight w:val="none"/>
              </w:rPr>
              <w:t>单价</w:t>
            </w:r>
          </w:p>
          <w:p>
            <w:pPr>
              <w:widowControl/>
              <w:jc w:val="center"/>
              <w:rPr>
                <w:rFonts w:ascii="宋体" w:hAnsi="宋体" w:cs="宋体"/>
                <w:b/>
                <w:bCs/>
                <w:color w:val="auto"/>
                <w:kern w:val="0"/>
                <w:szCs w:val="21"/>
                <w:highlight w:val="none"/>
                <w:lang w:bidi="ar"/>
              </w:rPr>
            </w:pPr>
            <w:r>
              <w:rPr>
                <w:rFonts w:hint="eastAsia" w:ascii="宋体" w:hAnsi="宋体" w:cs="宋体"/>
                <w:b/>
                <w:bCs/>
                <w:color w:val="auto"/>
                <w:kern w:val="0"/>
                <w:sz w:val="20"/>
                <w:highlight w:val="none"/>
              </w:rPr>
              <w:t>（含税）</w:t>
            </w:r>
          </w:p>
        </w:tc>
        <w:tc>
          <w:tcPr>
            <w:tcW w:w="112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b/>
                <w:bCs/>
                <w:color w:val="auto"/>
                <w:kern w:val="0"/>
                <w:sz w:val="20"/>
                <w:highlight w:val="none"/>
              </w:rPr>
            </w:pPr>
            <w:r>
              <w:rPr>
                <w:rFonts w:hint="eastAsia" w:ascii="宋体" w:hAnsi="宋体" w:cs="宋体"/>
                <w:b/>
                <w:bCs/>
                <w:color w:val="auto"/>
                <w:kern w:val="0"/>
                <w:sz w:val="20"/>
                <w:highlight w:val="none"/>
              </w:rPr>
              <w:t>合价</w:t>
            </w:r>
          </w:p>
          <w:p>
            <w:pPr>
              <w:widowControl/>
              <w:jc w:val="center"/>
              <w:rPr>
                <w:rFonts w:ascii="宋体" w:hAnsi="宋体" w:cs="宋体"/>
                <w:b/>
                <w:bCs/>
                <w:color w:val="auto"/>
                <w:kern w:val="0"/>
                <w:szCs w:val="21"/>
                <w:highlight w:val="none"/>
                <w:lang w:bidi="ar"/>
              </w:rPr>
            </w:pPr>
            <w:r>
              <w:rPr>
                <w:rFonts w:hint="eastAsia" w:ascii="宋体" w:hAnsi="宋体" w:cs="宋体"/>
                <w:b/>
                <w:bCs/>
                <w:color w:val="auto"/>
                <w:kern w:val="0"/>
                <w:sz w:val="20"/>
                <w:highlight w:val="none"/>
              </w:rPr>
              <w:t>（含税）</w:t>
            </w:r>
          </w:p>
        </w:tc>
      </w:tr>
      <w:tr>
        <w:tblPrEx>
          <w:tblCellMar>
            <w:top w:w="0" w:type="dxa"/>
            <w:left w:w="108" w:type="dxa"/>
            <w:bottom w:w="0" w:type="dxa"/>
            <w:right w:w="108" w:type="dxa"/>
          </w:tblCellMar>
        </w:tblPrEx>
        <w:trPr>
          <w:trHeight w:val="818" w:hRule="atLeast"/>
          <w:jc w:val="center"/>
        </w:trPr>
        <w:tc>
          <w:tcPr>
            <w:tcW w:w="78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highlight w:val="none"/>
                <w:lang w:bidi="ar"/>
              </w:rPr>
            </w:pPr>
          </w:p>
        </w:tc>
        <w:tc>
          <w:tcPr>
            <w:tcW w:w="140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highlight w:val="none"/>
                <w:lang w:bidi="ar"/>
              </w:rPr>
            </w:pPr>
          </w:p>
        </w:tc>
        <w:tc>
          <w:tcPr>
            <w:tcW w:w="384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highlight w:val="none"/>
                <w:lang w:bidi="ar"/>
              </w:rPr>
            </w:pPr>
          </w:p>
        </w:tc>
        <w:tc>
          <w:tcPr>
            <w:tcW w:w="149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highlight w:val="none"/>
                <w:lang w:bidi="ar"/>
              </w:rPr>
            </w:pPr>
          </w:p>
        </w:tc>
        <w:tc>
          <w:tcPr>
            <w:tcW w:w="112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kern w:val="0"/>
                <w:szCs w:val="21"/>
                <w:highlight w:val="none"/>
                <w:lang w:bidi="ar"/>
              </w:rPr>
            </w:pPr>
          </w:p>
        </w:tc>
        <w:tc>
          <w:tcPr>
            <w:tcW w:w="12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b/>
                <w:bCs/>
                <w:color w:val="auto"/>
                <w:kern w:val="0"/>
                <w:szCs w:val="21"/>
                <w:highlight w:val="none"/>
                <w:lang w:bidi="ar"/>
              </w:rPr>
            </w:pPr>
            <w:r>
              <w:rPr>
                <w:rFonts w:hint="eastAsia" w:ascii="宋体" w:hAnsi="宋体" w:cs="宋体"/>
                <w:b/>
                <w:bCs/>
                <w:color w:val="auto"/>
                <w:kern w:val="0"/>
                <w:sz w:val="20"/>
                <w:highlight w:val="none"/>
              </w:rPr>
              <w:t>单位(元)</w:t>
            </w:r>
          </w:p>
        </w:tc>
        <w:tc>
          <w:tcPr>
            <w:tcW w:w="112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rPr>
                <w:rFonts w:ascii="宋体" w:hAnsi="宋体" w:cs="宋体"/>
                <w:b/>
                <w:bCs/>
                <w:color w:val="auto"/>
                <w:kern w:val="0"/>
                <w:szCs w:val="21"/>
                <w:highlight w:val="none"/>
                <w:lang w:bidi="ar"/>
              </w:rPr>
            </w:pPr>
            <w:r>
              <w:rPr>
                <w:rFonts w:hint="eastAsia" w:ascii="宋体" w:hAnsi="宋体" w:cs="宋体"/>
                <w:b/>
                <w:bCs/>
                <w:color w:val="auto"/>
                <w:kern w:val="0"/>
                <w:sz w:val="20"/>
                <w:highlight w:val="none"/>
              </w:rPr>
              <w:t>单位(元)</w:t>
            </w:r>
          </w:p>
        </w:tc>
      </w:tr>
      <w:tr>
        <w:tblPrEx>
          <w:tblCellMar>
            <w:top w:w="0" w:type="dxa"/>
            <w:left w:w="108" w:type="dxa"/>
            <w:bottom w:w="0" w:type="dxa"/>
            <w:right w:w="108" w:type="dxa"/>
          </w:tblCellMar>
        </w:tblPrEx>
        <w:trPr>
          <w:trHeight w:val="271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头等舱行李标签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53472" behindDoc="0" locked="0" layoutInCell="1" allowOverlap="1">
                  <wp:simplePos x="0" y="0"/>
                  <wp:positionH relativeFrom="column">
                    <wp:posOffset>328295</wp:posOffset>
                  </wp:positionH>
                  <wp:positionV relativeFrom="paragraph">
                    <wp:posOffset>235585</wp:posOffset>
                  </wp:positionV>
                  <wp:extent cx="1696085" cy="1296670"/>
                  <wp:effectExtent l="0" t="0" r="18415" b="17780"/>
                  <wp:wrapNone/>
                  <wp:docPr id="163" name="图片_1"/>
                  <wp:cNvGraphicFramePr/>
                  <a:graphic xmlns:a="http://schemas.openxmlformats.org/drawingml/2006/main">
                    <a:graphicData uri="http://schemas.openxmlformats.org/drawingml/2006/picture">
                      <pic:pic xmlns:pic="http://schemas.openxmlformats.org/drawingml/2006/picture">
                        <pic:nvPicPr>
                          <pic:cNvPr id="163" name="图片_1"/>
                          <pic:cNvPicPr/>
                        </pic:nvPicPr>
                        <pic:blipFill>
                          <a:blip r:embed="rId19"/>
                          <a:stretch>
                            <a:fillRect/>
                          </a:stretch>
                        </pic:blipFill>
                        <pic:spPr>
                          <a:xfrm>
                            <a:off x="0" y="0"/>
                            <a:ext cx="1696085" cy="129667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18丝珠光面涂布合成纸，双面彩印，箭头形，5*26cm</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01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重要旅客优先条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54496" behindDoc="0" locked="0" layoutInCell="1" allowOverlap="1">
                  <wp:simplePos x="0" y="0"/>
                  <wp:positionH relativeFrom="column">
                    <wp:posOffset>184785</wp:posOffset>
                  </wp:positionH>
                  <wp:positionV relativeFrom="paragraph">
                    <wp:posOffset>244475</wp:posOffset>
                  </wp:positionV>
                  <wp:extent cx="1878965" cy="1485900"/>
                  <wp:effectExtent l="0" t="0" r="6985" b="0"/>
                  <wp:wrapNone/>
                  <wp:docPr id="164" name="图片_2"/>
                  <wp:cNvGraphicFramePr/>
                  <a:graphic xmlns:a="http://schemas.openxmlformats.org/drawingml/2006/main">
                    <a:graphicData uri="http://schemas.openxmlformats.org/drawingml/2006/picture">
                      <pic:pic xmlns:pic="http://schemas.openxmlformats.org/drawingml/2006/picture">
                        <pic:nvPicPr>
                          <pic:cNvPr id="164" name="图片_2"/>
                          <pic:cNvPicPr/>
                        </pic:nvPicPr>
                        <pic:blipFill>
                          <a:blip r:embed="rId20"/>
                          <a:stretch>
                            <a:fillRect/>
                          </a:stretch>
                        </pic:blipFill>
                        <pic:spPr>
                          <a:xfrm>
                            <a:off x="0" y="0"/>
                            <a:ext cx="1878965" cy="148590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18丝珠光面涂布合成纸，双面彩印，箭头形，打孔穿绳，20*4.5cm</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9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行李开包温馨提示条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 w:val="24"/>
                <w:highlight w:val="none"/>
                <w:bdr w:val="single" w:color="000000" w:sz="4" w:space="0"/>
              </w:rPr>
              <w:drawing>
                <wp:anchor distT="0" distB="0" distL="114300" distR="114300" simplePos="0" relativeHeight="251755520" behindDoc="0" locked="0" layoutInCell="1" allowOverlap="1">
                  <wp:simplePos x="0" y="0"/>
                  <wp:positionH relativeFrom="column">
                    <wp:posOffset>239395</wp:posOffset>
                  </wp:positionH>
                  <wp:positionV relativeFrom="paragraph">
                    <wp:posOffset>295910</wp:posOffset>
                  </wp:positionV>
                  <wp:extent cx="1798320" cy="1366520"/>
                  <wp:effectExtent l="0" t="0" r="11430" b="5080"/>
                  <wp:wrapNone/>
                  <wp:docPr id="165" name="图片_3"/>
                  <wp:cNvGraphicFramePr/>
                  <a:graphic xmlns:a="http://schemas.openxmlformats.org/drawingml/2006/main">
                    <a:graphicData uri="http://schemas.openxmlformats.org/drawingml/2006/picture">
                      <pic:pic xmlns:pic="http://schemas.openxmlformats.org/drawingml/2006/picture">
                        <pic:nvPicPr>
                          <pic:cNvPr id="165" name="图片_3"/>
                          <pic:cNvPicPr/>
                        </pic:nvPicPr>
                        <pic:blipFill>
                          <a:blip r:embed="rId21"/>
                          <a:stretch>
                            <a:fillRect/>
                          </a:stretch>
                        </pic:blipFill>
                        <pic:spPr>
                          <a:xfrm>
                            <a:off x="0" y="0"/>
                            <a:ext cx="1798320" cy="136652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格拉辛底可移不干胶，成品规格5*5cm，有钢线；彩印</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15</w:t>
            </w:r>
            <w:r>
              <w:rPr>
                <w:rFonts w:hint="eastAsia" w:ascii="宋体" w:hAnsi="宋体" w:cs="宋体"/>
                <w:color w:val="auto"/>
                <w:kern w:val="0"/>
                <w:szCs w:val="21"/>
                <w:highlight w:val="none"/>
                <w:lang w:bidi="ar"/>
              </w:rPr>
              <w:t>0000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98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小心轻放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0464" behindDoc="0" locked="0" layoutInCell="1" allowOverlap="1">
                  <wp:simplePos x="0" y="0"/>
                  <wp:positionH relativeFrom="column">
                    <wp:posOffset>320040</wp:posOffset>
                  </wp:positionH>
                  <wp:positionV relativeFrom="paragraph">
                    <wp:posOffset>300990</wp:posOffset>
                  </wp:positionV>
                  <wp:extent cx="1837690" cy="1521460"/>
                  <wp:effectExtent l="0" t="0" r="10160" b="2540"/>
                  <wp:wrapNone/>
                  <wp:docPr id="113" name="图片_4"/>
                  <wp:cNvGraphicFramePr/>
                  <a:graphic xmlns:a="http://schemas.openxmlformats.org/drawingml/2006/main">
                    <a:graphicData uri="http://schemas.openxmlformats.org/drawingml/2006/picture">
                      <pic:pic xmlns:pic="http://schemas.openxmlformats.org/drawingml/2006/picture">
                        <pic:nvPicPr>
                          <pic:cNvPr id="113" name="图片_4"/>
                          <pic:cNvPicPr/>
                        </pic:nvPicPr>
                        <pic:blipFill>
                          <a:blip r:embed="rId22"/>
                          <a:stretch>
                            <a:fillRect/>
                          </a:stretch>
                        </pic:blipFill>
                        <pic:spPr>
                          <a:xfrm>
                            <a:off x="0" y="0"/>
                            <a:ext cx="1837690" cy="152146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需要做两种：1、贴纸：单面贴纸,不干胶彩印10*7cm，有钢线；  2、挂牌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35</w:t>
            </w:r>
            <w:r>
              <w:rPr>
                <w:rFonts w:hint="eastAsia" w:ascii="宋体" w:hAnsi="宋体" w:cs="宋体"/>
                <w:color w:val="auto"/>
                <w:kern w:val="0"/>
                <w:szCs w:val="21"/>
                <w:highlight w:val="none"/>
                <w:lang w:bidi="ar"/>
              </w:rPr>
              <w:t>0000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9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紧急出口标签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1488" behindDoc="0" locked="0" layoutInCell="1" allowOverlap="1">
                  <wp:simplePos x="0" y="0"/>
                  <wp:positionH relativeFrom="column">
                    <wp:posOffset>303530</wp:posOffset>
                  </wp:positionH>
                  <wp:positionV relativeFrom="paragraph">
                    <wp:posOffset>229235</wp:posOffset>
                  </wp:positionV>
                  <wp:extent cx="1706880" cy="1423035"/>
                  <wp:effectExtent l="0" t="0" r="7620" b="5715"/>
                  <wp:wrapNone/>
                  <wp:docPr id="114" name="图片_5"/>
                  <wp:cNvGraphicFramePr/>
                  <a:graphic xmlns:a="http://schemas.openxmlformats.org/drawingml/2006/main">
                    <a:graphicData uri="http://schemas.openxmlformats.org/drawingml/2006/picture">
                      <pic:pic xmlns:pic="http://schemas.openxmlformats.org/drawingml/2006/picture">
                        <pic:nvPicPr>
                          <pic:cNvPr id="114" name="图片_5"/>
                          <pic:cNvPicPr/>
                        </pic:nvPicPr>
                        <pic:blipFill>
                          <a:blip r:embed="rId23"/>
                          <a:stretch>
                            <a:fillRect/>
                          </a:stretch>
                        </pic:blipFill>
                        <pic:spPr>
                          <a:xfrm>
                            <a:off x="0" y="0"/>
                            <a:ext cx="1706880" cy="142303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单面贴纸,不干胶彩印，圆形，10.2*6.5cm，有钢线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35</w:t>
            </w:r>
            <w:r>
              <w:rPr>
                <w:rFonts w:hint="eastAsia" w:ascii="宋体" w:hAnsi="宋体" w:cs="宋体"/>
                <w:color w:val="auto"/>
                <w:kern w:val="0"/>
                <w:szCs w:val="21"/>
                <w:highlight w:val="none"/>
                <w:lang w:bidi="ar"/>
              </w:rPr>
              <w:t>0000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91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急字行李档签</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2512" behindDoc="0" locked="0" layoutInCell="1" allowOverlap="1">
                  <wp:simplePos x="0" y="0"/>
                  <wp:positionH relativeFrom="column">
                    <wp:posOffset>283845</wp:posOffset>
                  </wp:positionH>
                  <wp:positionV relativeFrom="paragraph">
                    <wp:posOffset>264795</wp:posOffset>
                  </wp:positionV>
                  <wp:extent cx="1862455" cy="1301750"/>
                  <wp:effectExtent l="0" t="0" r="4445" b="12700"/>
                  <wp:wrapNone/>
                  <wp:docPr id="115" name="图片_1_SpCnt_1"/>
                  <wp:cNvGraphicFramePr/>
                  <a:graphic xmlns:a="http://schemas.openxmlformats.org/drawingml/2006/main">
                    <a:graphicData uri="http://schemas.openxmlformats.org/drawingml/2006/picture">
                      <pic:pic xmlns:pic="http://schemas.openxmlformats.org/drawingml/2006/picture">
                        <pic:nvPicPr>
                          <pic:cNvPr id="115" name="图片_1_SpCnt_1"/>
                          <pic:cNvPicPr/>
                        </pic:nvPicPr>
                        <pic:blipFill>
                          <a:blip r:embed="rId24"/>
                          <a:stretch>
                            <a:fillRect/>
                          </a:stretch>
                        </pic:blipFill>
                        <pic:spPr>
                          <a:xfrm>
                            <a:off x="0" y="0"/>
                            <a:ext cx="1862455" cy="130175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18丝珠光面涂布合成纸，双面彩印，箭头形，5*26cm</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30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免除责任行李牌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3536" behindDoc="0" locked="0" layoutInCell="1" allowOverlap="1">
                  <wp:simplePos x="0" y="0"/>
                  <wp:positionH relativeFrom="column">
                    <wp:posOffset>468630</wp:posOffset>
                  </wp:positionH>
                  <wp:positionV relativeFrom="paragraph">
                    <wp:posOffset>97155</wp:posOffset>
                  </wp:positionV>
                  <wp:extent cx="1342390" cy="1874520"/>
                  <wp:effectExtent l="0" t="0" r="10160" b="11430"/>
                  <wp:wrapNone/>
                  <wp:docPr id="116" name="图片_7"/>
                  <wp:cNvGraphicFramePr/>
                  <a:graphic xmlns:a="http://schemas.openxmlformats.org/drawingml/2006/main">
                    <a:graphicData uri="http://schemas.openxmlformats.org/drawingml/2006/picture">
                      <pic:pic xmlns:pic="http://schemas.openxmlformats.org/drawingml/2006/picture">
                        <pic:nvPicPr>
                          <pic:cNvPr id="116" name="图片_7"/>
                          <pic:cNvPicPr/>
                        </pic:nvPicPr>
                        <pic:blipFill>
                          <a:blip r:embed="rId25"/>
                          <a:stretch>
                            <a:fillRect/>
                          </a:stretch>
                        </pic:blipFill>
                        <pic:spPr>
                          <a:xfrm>
                            <a:off x="0" y="0"/>
                            <a:ext cx="1342390" cy="1874520"/>
                          </a:xfrm>
                          <a:prstGeom prst="rect">
                            <a:avLst/>
                          </a:prstGeom>
                          <a:noFill/>
                          <a:ln>
                            <a:noFill/>
                          </a:ln>
                        </pic:spPr>
                      </pic:pic>
                    </a:graphicData>
                  </a:graphic>
                </wp:anchor>
              </w:drawing>
            </w:r>
          </w:p>
          <w:p>
            <w:pPr>
              <w:widowControl/>
              <w:jc w:val="left"/>
              <w:textAlignment w:val="center"/>
              <w:rPr>
                <w:rFonts w:ascii="宋体" w:hAnsi="宋体" w:cs="宋体"/>
                <w:color w:val="auto"/>
                <w:szCs w:val="21"/>
                <w:highlight w:val="none"/>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圆角吊卡，250克白卡纸，6.2*18CM，双面彩印，反面可写字，打孔加鸡眼扣，穿弹力绳，每张含2个号码，压易撕线1条，撕开成2张后每张都有4个圆角。</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w:t>
            </w:r>
            <w:r>
              <w:rPr>
                <w:rFonts w:hint="eastAsia" w:ascii="宋体" w:hAnsi="宋体" w:cs="宋体"/>
                <w:color w:val="auto"/>
                <w:kern w:val="0"/>
                <w:szCs w:val="21"/>
                <w:highlight w:val="none"/>
                <w:lang w:bidi="ar"/>
              </w:rPr>
              <w:t>0000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52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阳光精品服务卡-失物招领</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p>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4560" behindDoc="0" locked="0" layoutInCell="1" allowOverlap="1">
                  <wp:simplePos x="0" y="0"/>
                  <wp:positionH relativeFrom="column">
                    <wp:posOffset>-9525</wp:posOffset>
                  </wp:positionH>
                  <wp:positionV relativeFrom="paragraph">
                    <wp:posOffset>255905</wp:posOffset>
                  </wp:positionV>
                  <wp:extent cx="1000125" cy="1411605"/>
                  <wp:effectExtent l="0" t="0" r="9525" b="17145"/>
                  <wp:wrapNone/>
                  <wp:docPr id="117" name="图片_6"/>
                  <wp:cNvGraphicFramePr/>
                  <a:graphic xmlns:a="http://schemas.openxmlformats.org/drawingml/2006/main">
                    <a:graphicData uri="http://schemas.openxmlformats.org/drawingml/2006/picture">
                      <pic:pic xmlns:pic="http://schemas.openxmlformats.org/drawingml/2006/picture">
                        <pic:nvPicPr>
                          <pic:cNvPr id="117" name="图片_6"/>
                          <pic:cNvPicPr/>
                        </pic:nvPicPr>
                        <pic:blipFill>
                          <a:blip r:embed="rId26"/>
                          <a:srcRect t="35640"/>
                          <a:stretch>
                            <a:fillRect/>
                          </a:stretch>
                        </pic:blipFill>
                        <pic:spPr>
                          <a:xfrm>
                            <a:off x="0" y="0"/>
                            <a:ext cx="1000125" cy="141160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15584" behindDoc="0" locked="0" layoutInCell="1" allowOverlap="1">
                  <wp:simplePos x="0" y="0"/>
                  <wp:positionH relativeFrom="column">
                    <wp:posOffset>1123950</wp:posOffset>
                  </wp:positionH>
                  <wp:positionV relativeFrom="paragraph">
                    <wp:posOffset>144145</wp:posOffset>
                  </wp:positionV>
                  <wp:extent cx="1094105" cy="1673225"/>
                  <wp:effectExtent l="0" t="0" r="10795" b="3175"/>
                  <wp:wrapNone/>
                  <wp:docPr id="118" name="图片_7_SpCnt_1"/>
                  <wp:cNvGraphicFramePr/>
                  <a:graphic xmlns:a="http://schemas.openxmlformats.org/drawingml/2006/main">
                    <a:graphicData uri="http://schemas.openxmlformats.org/drawingml/2006/picture">
                      <pic:pic xmlns:pic="http://schemas.openxmlformats.org/drawingml/2006/picture">
                        <pic:nvPicPr>
                          <pic:cNvPr id="118" name="图片_7_SpCnt_1"/>
                          <pic:cNvPicPr/>
                        </pic:nvPicPr>
                        <pic:blipFill>
                          <a:blip r:embed="rId27"/>
                          <a:srcRect t="22134"/>
                          <a:stretch>
                            <a:fillRect/>
                          </a:stretch>
                        </pic:blipFill>
                        <pic:spPr>
                          <a:xfrm>
                            <a:off x="0" y="0"/>
                            <a:ext cx="1094105" cy="167322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吊卡，9.5*5.5cm，300克铜版卡，双面彩印，打孔穿绳。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52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阳光精品服务卡-失物招领（待认领）</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6608" behindDoc="0" locked="0" layoutInCell="1" allowOverlap="1">
                  <wp:simplePos x="0" y="0"/>
                  <wp:positionH relativeFrom="column">
                    <wp:posOffset>182880</wp:posOffset>
                  </wp:positionH>
                  <wp:positionV relativeFrom="paragraph">
                    <wp:posOffset>287020</wp:posOffset>
                  </wp:positionV>
                  <wp:extent cx="770255" cy="1673225"/>
                  <wp:effectExtent l="0" t="0" r="10795" b="3175"/>
                  <wp:wrapNone/>
                  <wp:docPr id="119" name="图片_25"/>
                  <wp:cNvGraphicFramePr/>
                  <a:graphic xmlns:a="http://schemas.openxmlformats.org/drawingml/2006/main">
                    <a:graphicData uri="http://schemas.openxmlformats.org/drawingml/2006/picture">
                      <pic:pic xmlns:pic="http://schemas.openxmlformats.org/drawingml/2006/picture">
                        <pic:nvPicPr>
                          <pic:cNvPr id="119" name="图片_25"/>
                          <pic:cNvPicPr/>
                        </pic:nvPicPr>
                        <pic:blipFill>
                          <a:blip r:embed="rId28"/>
                          <a:stretch>
                            <a:fillRect/>
                          </a:stretch>
                        </pic:blipFill>
                        <pic:spPr>
                          <a:xfrm>
                            <a:off x="0" y="0"/>
                            <a:ext cx="770255" cy="167322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17632" behindDoc="0" locked="0" layoutInCell="1" allowOverlap="1">
                  <wp:simplePos x="0" y="0"/>
                  <wp:positionH relativeFrom="column">
                    <wp:posOffset>1190625</wp:posOffset>
                  </wp:positionH>
                  <wp:positionV relativeFrom="paragraph">
                    <wp:posOffset>363855</wp:posOffset>
                  </wp:positionV>
                  <wp:extent cx="1155700" cy="1475105"/>
                  <wp:effectExtent l="0" t="0" r="6350" b="10795"/>
                  <wp:wrapNone/>
                  <wp:docPr id="120" name="图片_26"/>
                  <wp:cNvGraphicFramePr/>
                  <a:graphic xmlns:a="http://schemas.openxmlformats.org/drawingml/2006/main">
                    <a:graphicData uri="http://schemas.openxmlformats.org/drawingml/2006/picture">
                      <pic:pic xmlns:pic="http://schemas.openxmlformats.org/drawingml/2006/picture">
                        <pic:nvPicPr>
                          <pic:cNvPr id="120" name="图片_26"/>
                          <pic:cNvPicPr/>
                        </pic:nvPicPr>
                        <pic:blipFill>
                          <a:blip r:embed="rId29"/>
                          <a:stretch>
                            <a:fillRect/>
                          </a:stretch>
                        </pic:blipFill>
                        <pic:spPr>
                          <a:xfrm>
                            <a:off x="0" y="0"/>
                            <a:ext cx="1155700" cy="147510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吊卡，13*8cm，300克铜版卡，双面彩印，打孔穿绳。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49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《宁波机场阳光服务爱心服务记录本（轮椅等特殊服务）》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8656" behindDoc="0" locked="0" layoutInCell="1" allowOverlap="1">
                  <wp:simplePos x="0" y="0"/>
                  <wp:positionH relativeFrom="column">
                    <wp:posOffset>554990</wp:posOffset>
                  </wp:positionH>
                  <wp:positionV relativeFrom="paragraph">
                    <wp:posOffset>56515</wp:posOffset>
                  </wp:positionV>
                  <wp:extent cx="1292860" cy="1364615"/>
                  <wp:effectExtent l="0" t="0" r="2540" b="6985"/>
                  <wp:wrapNone/>
                  <wp:docPr id="121" name="图片_1_SpCnt_2"/>
                  <wp:cNvGraphicFramePr/>
                  <a:graphic xmlns:a="http://schemas.openxmlformats.org/drawingml/2006/main">
                    <a:graphicData uri="http://schemas.openxmlformats.org/drawingml/2006/picture">
                      <pic:pic xmlns:pic="http://schemas.openxmlformats.org/drawingml/2006/picture">
                        <pic:nvPicPr>
                          <pic:cNvPr id="121" name="图片_1_SpCnt_2"/>
                          <pic:cNvPicPr/>
                        </pic:nvPicPr>
                        <pic:blipFill>
                          <a:blip r:embed="rId30"/>
                          <a:stretch>
                            <a:fillRect/>
                          </a:stretch>
                        </pic:blipFill>
                        <pic:spPr>
                          <a:xfrm>
                            <a:off x="0" y="0"/>
                            <a:ext cx="1292860" cy="136461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A4，封面封底230克蓝色皮纹纸单面印刷；内页：无碳复写纸，一式四联单，25份/本，每本100张，有编号，齿线，打钉。</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758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《宁波机场阳光服务爱心服务记录本（无成人陪伴儿童乘机服务）》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9680" behindDoc="0" locked="0" layoutInCell="1" allowOverlap="1">
                  <wp:simplePos x="0" y="0"/>
                  <wp:positionH relativeFrom="column">
                    <wp:posOffset>42545</wp:posOffset>
                  </wp:positionH>
                  <wp:positionV relativeFrom="paragraph">
                    <wp:posOffset>3211830</wp:posOffset>
                  </wp:positionV>
                  <wp:extent cx="996315" cy="1275080"/>
                  <wp:effectExtent l="0" t="0" r="13335" b="1270"/>
                  <wp:wrapNone/>
                  <wp:docPr id="122" name="图片_16"/>
                  <wp:cNvGraphicFramePr/>
                  <a:graphic xmlns:a="http://schemas.openxmlformats.org/drawingml/2006/main">
                    <a:graphicData uri="http://schemas.openxmlformats.org/drawingml/2006/picture">
                      <pic:pic xmlns:pic="http://schemas.openxmlformats.org/drawingml/2006/picture">
                        <pic:nvPicPr>
                          <pic:cNvPr id="122" name="图片_16"/>
                          <pic:cNvPicPr/>
                        </pic:nvPicPr>
                        <pic:blipFill>
                          <a:blip r:embed="rId31"/>
                          <a:stretch>
                            <a:fillRect/>
                          </a:stretch>
                        </pic:blipFill>
                        <pic:spPr>
                          <a:xfrm>
                            <a:off x="0" y="0"/>
                            <a:ext cx="996315" cy="127508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20704" behindDoc="0" locked="0" layoutInCell="1" allowOverlap="1">
                  <wp:simplePos x="0" y="0"/>
                  <wp:positionH relativeFrom="column">
                    <wp:posOffset>1204595</wp:posOffset>
                  </wp:positionH>
                  <wp:positionV relativeFrom="paragraph">
                    <wp:posOffset>3167380</wp:posOffset>
                  </wp:positionV>
                  <wp:extent cx="988060" cy="1456055"/>
                  <wp:effectExtent l="0" t="0" r="2540" b="10795"/>
                  <wp:wrapNone/>
                  <wp:docPr id="123" name="图片_19"/>
                  <wp:cNvGraphicFramePr/>
                  <a:graphic xmlns:a="http://schemas.openxmlformats.org/drawingml/2006/main">
                    <a:graphicData uri="http://schemas.openxmlformats.org/drawingml/2006/picture">
                      <pic:pic xmlns:pic="http://schemas.openxmlformats.org/drawingml/2006/picture">
                        <pic:nvPicPr>
                          <pic:cNvPr id="123" name="图片_19"/>
                          <pic:cNvPicPr/>
                        </pic:nvPicPr>
                        <pic:blipFill>
                          <a:blip r:embed="rId32"/>
                          <a:stretch>
                            <a:fillRect/>
                          </a:stretch>
                        </pic:blipFill>
                        <pic:spPr>
                          <a:xfrm>
                            <a:off x="0" y="0"/>
                            <a:ext cx="988060" cy="145605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21728" behindDoc="0" locked="0" layoutInCell="1" allowOverlap="1">
                  <wp:simplePos x="0" y="0"/>
                  <wp:positionH relativeFrom="column">
                    <wp:posOffset>173355</wp:posOffset>
                  </wp:positionH>
                  <wp:positionV relativeFrom="paragraph">
                    <wp:posOffset>1604645</wp:posOffset>
                  </wp:positionV>
                  <wp:extent cx="928370" cy="1249045"/>
                  <wp:effectExtent l="0" t="0" r="5080" b="8255"/>
                  <wp:wrapNone/>
                  <wp:docPr id="124" name="图片_20"/>
                  <wp:cNvGraphicFramePr/>
                  <a:graphic xmlns:a="http://schemas.openxmlformats.org/drawingml/2006/main">
                    <a:graphicData uri="http://schemas.openxmlformats.org/drawingml/2006/picture">
                      <pic:pic xmlns:pic="http://schemas.openxmlformats.org/drawingml/2006/picture">
                        <pic:nvPicPr>
                          <pic:cNvPr id="124" name="图片_20"/>
                          <pic:cNvPicPr/>
                        </pic:nvPicPr>
                        <pic:blipFill>
                          <a:blip r:embed="rId33"/>
                          <a:stretch>
                            <a:fillRect/>
                          </a:stretch>
                        </pic:blipFill>
                        <pic:spPr>
                          <a:xfrm>
                            <a:off x="0" y="0"/>
                            <a:ext cx="928370" cy="124904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22752" behindDoc="0" locked="0" layoutInCell="1" allowOverlap="1">
                  <wp:simplePos x="0" y="0"/>
                  <wp:positionH relativeFrom="column">
                    <wp:posOffset>1348105</wp:posOffset>
                  </wp:positionH>
                  <wp:positionV relativeFrom="paragraph">
                    <wp:posOffset>1704340</wp:posOffset>
                  </wp:positionV>
                  <wp:extent cx="935990" cy="1250950"/>
                  <wp:effectExtent l="0" t="0" r="16510" b="6350"/>
                  <wp:wrapNone/>
                  <wp:docPr id="125" name="图片_18"/>
                  <wp:cNvGraphicFramePr/>
                  <a:graphic xmlns:a="http://schemas.openxmlformats.org/drawingml/2006/main">
                    <a:graphicData uri="http://schemas.openxmlformats.org/drawingml/2006/picture">
                      <pic:pic xmlns:pic="http://schemas.openxmlformats.org/drawingml/2006/picture">
                        <pic:nvPicPr>
                          <pic:cNvPr id="125" name="图片_18"/>
                          <pic:cNvPicPr/>
                        </pic:nvPicPr>
                        <pic:blipFill>
                          <a:blip r:embed="rId34"/>
                          <a:stretch>
                            <a:fillRect/>
                          </a:stretch>
                        </pic:blipFill>
                        <pic:spPr>
                          <a:xfrm>
                            <a:off x="0" y="0"/>
                            <a:ext cx="935990" cy="125095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23776" behindDoc="0" locked="0" layoutInCell="1" allowOverlap="1">
                  <wp:simplePos x="0" y="0"/>
                  <wp:positionH relativeFrom="column">
                    <wp:posOffset>187325</wp:posOffset>
                  </wp:positionH>
                  <wp:positionV relativeFrom="paragraph">
                    <wp:posOffset>128905</wp:posOffset>
                  </wp:positionV>
                  <wp:extent cx="889000" cy="1240155"/>
                  <wp:effectExtent l="0" t="0" r="6350" b="17145"/>
                  <wp:wrapNone/>
                  <wp:docPr id="126" name="图片_14"/>
                  <wp:cNvGraphicFramePr/>
                  <a:graphic xmlns:a="http://schemas.openxmlformats.org/drawingml/2006/main">
                    <a:graphicData uri="http://schemas.openxmlformats.org/drawingml/2006/picture">
                      <pic:pic xmlns:pic="http://schemas.openxmlformats.org/drawingml/2006/picture">
                        <pic:nvPicPr>
                          <pic:cNvPr id="126" name="图片_14"/>
                          <pic:cNvPicPr/>
                        </pic:nvPicPr>
                        <pic:blipFill>
                          <a:blip r:embed="rId35"/>
                          <a:stretch>
                            <a:fillRect/>
                          </a:stretch>
                        </pic:blipFill>
                        <pic:spPr>
                          <a:xfrm>
                            <a:off x="0" y="0"/>
                            <a:ext cx="889000" cy="124015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24800" behindDoc="0" locked="0" layoutInCell="1" allowOverlap="1">
                  <wp:simplePos x="0" y="0"/>
                  <wp:positionH relativeFrom="column">
                    <wp:posOffset>1322705</wp:posOffset>
                  </wp:positionH>
                  <wp:positionV relativeFrom="paragraph">
                    <wp:posOffset>165735</wp:posOffset>
                  </wp:positionV>
                  <wp:extent cx="942975" cy="1417320"/>
                  <wp:effectExtent l="0" t="0" r="9525" b="11430"/>
                  <wp:wrapNone/>
                  <wp:docPr id="127" name="图片_15"/>
                  <wp:cNvGraphicFramePr/>
                  <a:graphic xmlns:a="http://schemas.openxmlformats.org/drawingml/2006/main">
                    <a:graphicData uri="http://schemas.openxmlformats.org/drawingml/2006/picture">
                      <pic:pic xmlns:pic="http://schemas.openxmlformats.org/drawingml/2006/picture">
                        <pic:nvPicPr>
                          <pic:cNvPr id="127" name="图片_15"/>
                          <pic:cNvPicPr/>
                        </pic:nvPicPr>
                        <pic:blipFill>
                          <a:blip r:embed="rId36"/>
                          <a:stretch>
                            <a:fillRect/>
                          </a:stretch>
                        </pic:blipFill>
                        <pic:spPr>
                          <a:xfrm>
                            <a:off x="0" y="0"/>
                            <a:ext cx="942975" cy="141732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A4，封面封底230克白色皮纹纸单面黑白印刷；内页：无碳复写纸，二式六联单，20份/本，一式两联单+一式四联单为1份，（其中一式四联单为双面印刷），每本120张，有编号，齿线，打钉。</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1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《阳光服务失物登记本》</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5824" behindDoc="0" locked="0" layoutInCell="1" allowOverlap="1">
                  <wp:simplePos x="0" y="0"/>
                  <wp:positionH relativeFrom="column">
                    <wp:posOffset>543560</wp:posOffset>
                  </wp:positionH>
                  <wp:positionV relativeFrom="paragraph">
                    <wp:posOffset>202565</wp:posOffset>
                  </wp:positionV>
                  <wp:extent cx="1294765" cy="1029970"/>
                  <wp:effectExtent l="0" t="0" r="635" b="17780"/>
                  <wp:wrapNone/>
                  <wp:docPr id="128" name="图片_8"/>
                  <wp:cNvGraphicFramePr/>
                  <a:graphic xmlns:a="http://schemas.openxmlformats.org/drawingml/2006/main">
                    <a:graphicData uri="http://schemas.openxmlformats.org/drawingml/2006/picture">
                      <pic:pic xmlns:pic="http://schemas.openxmlformats.org/drawingml/2006/picture">
                        <pic:nvPicPr>
                          <pic:cNvPr id="128" name="图片_8"/>
                          <pic:cNvPicPr/>
                        </pic:nvPicPr>
                        <pic:blipFill>
                          <a:blip r:embed="rId37"/>
                          <a:stretch>
                            <a:fillRect/>
                          </a:stretch>
                        </pic:blipFill>
                        <pic:spPr>
                          <a:xfrm>
                            <a:off x="0" y="0"/>
                            <a:ext cx="1294765" cy="102997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A5，封面棕色牛皮纸；内页：无碳复写纸，一式两联，单面印刷，胶成本，50份/本。每本要有垫纸，有编号，齿线，打钉。</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43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《航班延误、取消证明》</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6848" behindDoc="0" locked="0" layoutInCell="1" allowOverlap="1">
                  <wp:simplePos x="0" y="0"/>
                  <wp:positionH relativeFrom="column">
                    <wp:posOffset>417195</wp:posOffset>
                  </wp:positionH>
                  <wp:positionV relativeFrom="paragraph">
                    <wp:posOffset>285750</wp:posOffset>
                  </wp:positionV>
                  <wp:extent cx="1308100" cy="1147445"/>
                  <wp:effectExtent l="0" t="0" r="6350" b="14605"/>
                  <wp:wrapNone/>
                  <wp:docPr id="129" name="图片_10"/>
                  <wp:cNvGraphicFramePr/>
                  <a:graphic xmlns:a="http://schemas.openxmlformats.org/drawingml/2006/main">
                    <a:graphicData uri="http://schemas.openxmlformats.org/drawingml/2006/picture">
                      <pic:pic xmlns:pic="http://schemas.openxmlformats.org/drawingml/2006/picture">
                        <pic:nvPicPr>
                          <pic:cNvPr id="129" name="图片_10"/>
                          <pic:cNvPicPr/>
                        </pic:nvPicPr>
                        <pic:blipFill>
                          <a:blip r:embed="rId38"/>
                          <a:stretch>
                            <a:fillRect/>
                          </a:stretch>
                        </pic:blipFill>
                        <pic:spPr>
                          <a:xfrm>
                            <a:off x="0" y="0"/>
                            <a:ext cx="1308100" cy="114744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A5，封面棕色牛皮纸印黑白；内页：无碳复写纸，一式两联，第一联单面黑白印刷，其中第二联印红色公章，胶成本，50份/本。每本要有垫纸，有号码，齿线，打钉。</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85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速运行李牌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7872" behindDoc="0" locked="0" layoutInCell="1" allowOverlap="1">
                  <wp:simplePos x="0" y="0"/>
                  <wp:positionH relativeFrom="column">
                    <wp:posOffset>346075</wp:posOffset>
                  </wp:positionH>
                  <wp:positionV relativeFrom="paragraph">
                    <wp:posOffset>213360</wp:posOffset>
                  </wp:positionV>
                  <wp:extent cx="1526540" cy="1425575"/>
                  <wp:effectExtent l="0" t="0" r="16510" b="3175"/>
                  <wp:wrapNone/>
                  <wp:docPr id="130" name="图片_20_SpCnt_1"/>
                  <wp:cNvGraphicFramePr/>
                  <a:graphic xmlns:a="http://schemas.openxmlformats.org/drawingml/2006/main">
                    <a:graphicData uri="http://schemas.openxmlformats.org/drawingml/2006/picture">
                      <pic:pic xmlns:pic="http://schemas.openxmlformats.org/drawingml/2006/picture">
                        <pic:nvPicPr>
                          <pic:cNvPr id="130" name="图片_20_SpCnt_1"/>
                          <pic:cNvPicPr/>
                        </pic:nvPicPr>
                        <pic:blipFill>
                          <a:blip r:embed="rId39"/>
                          <a:stretch>
                            <a:fillRect/>
                          </a:stretch>
                        </pic:blipFill>
                        <pic:spPr>
                          <a:xfrm>
                            <a:off x="0" y="0"/>
                            <a:ext cx="1526540" cy="142557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205*72cm，250克白卡纸双面彩印，反面可写字，吊卡，打号码3个，2条易撕线，压痕，打孔，孔穿弹力绳，单张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87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行李查询档案袋、国际地区航班保障资料袋舱单留存业务袋（各类档案袋）</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8896" behindDoc="0" locked="0" layoutInCell="1" allowOverlap="1">
                  <wp:simplePos x="0" y="0"/>
                  <wp:positionH relativeFrom="column">
                    <wp:posOffset>182245</wp:posOffset>
                  </wp:positionH>
                  <wp:positionV relativeFrom="paragraph">
                    <wp:posOffset>1373505</wp:posOffset>
                  </wp:positionV>
                  <wp:extent cx="1001395" cy="1040765"/>
                  <wp:effectExtent l="0" t="0" r="8255" b="6985"/>
                  <wp:wrapNone/>
                  <wp:docPr id="131" name="图片_21_SpCnt_1"/>
                  <wp:cNvGraphicFramePr/>
                  <a:graphic xmlns:a="http://schemas.openxmlformats.org/drawingml/2006/main">
                    <a:graphicData uri="http://schemas.openxmlformats.org/drawingml/2006/picture">
                      <pic:pic xmlns:pic="http://schemas.openxmlformats.org/drawingml/2006/picture">
                        <pic:nvPicPr>
                          <pic:cNvPr id="131" name="图片_21_SpCnt_1"/>
                          <pic:cNvPicPr/>
                        </pic:nvPicPr>
                        <pic:blipFill>
                          <a:blip r:embed="rId40"/>
                          <a:stretch>
                            <a:fillRect/>
                          </a:stretch>
                        </pic:blipFill>
                        <pic:spPr>
                          <a:xfrm>
                            <a:off x="0" y="0"/>
                            <a:ext cx="1001395" cy="104076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29920" behindDoc="0" locked="0" layoutInCell="1" allowOverlap="1">
                  <wp:simplePos x="0" y="0"/>
                  <wp:positionH relativeFrom="column">
                    <wp:posOffset>74295</wp:posOffset>
                  </wp:positionH>
                  <wp:positionV relativeFrom="paragraph">
                    <wp:posOffset>154305</wp:posOffset>
                  </wp:positionV>
                  <wp:extent cx="963930" cy="1082040"/>
                  <wp:effectExtent l="0" t="0" r="7620" b="3810"/>
                  <wp:wrapNone/>
                  <wp:docPr id="132" name="图片_21"/>
                  <wp:cNvGraphicFramePr/>
                  <a:graphic xmlns:a="http://schemas.openxmlformats.org/drawingml/2006/main">
                    <a:graphicData uri="http://schemas.openxmlformats.org/drawingml/2006/picture">
                      <pic:pic xmlns:pic="http://schemas.openxmlformats.org/drawingml/2006/picture">
                        <pic:nvPicPr>
                          <pic:cNvPr id="132" name="图片_21"/>
                          <pic:cNvPicPr/>
                        </pic:nvPicPr>
                        <pic:blipFill>
                          <a:blip r:embed="rId41"/>
                          <a:stretch>
                            <a:fillRect/>
                          </a:stretch>
                        </pic:blipFill>
                        <pic:spPr>
                          <a:xfrm>
                            <a:off x="0" y="0"/>
                            <a:ext cx="963930" cy="108204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30944" behindDoc="0" locked="0" layoutInCell="1" allowOverlap="1">
                  <wp:simplePos x="0" y="0"/>
                  <wp:positionH relativeFrom="column">
                    <wp:posOffset>1316990</wp:posOffset>
                  </wp:positionH>
                  <wp:positionV relativeFrom="paragraph">
                    <wp:posOffset>123825</wp:posOffset>
                  </wp:positionV>
                  <wp:extent cx="1042670" cy="1209675"/>
                  <wp:effectExtent l="0" t="0" r="5080" b="9525"/>
                  <wp:wrapNone/>
                  <wp:docPr id="133" name="图片_1_SpCnt_3"/>
                  <wp:cNvGraphicFramePr/>
                  <a:graphic xmlns:a="http://schemas.openxmlformats.org/drawingml/2006/main">
                    <a:graphicData uri="http://schemas.openxmlformats.org/drawingml/2006/picture">
                      <pic:pic xmlns:pic="http://schemas.openxmlformats.org/drawingml/2006/picture">
                        <pic:nvPicPr>
                          <pic:cNvPr id="133" name="图片_1_SpCnt_3"/>
                          <pic:cNvPicPr/>
                        </pic:nvPicPr>
                        <pic:blipFill>
                          <a:blip r:embed="rId42"/>
                          <a:stretch>
                            <a:fillRect/>
                          </a:stretch>
                        </pic:blipFill>
                        <pic:spPr>
                          <a:xfrm>
                            <a:off x="0" y="0"/>
                            <a:ext cx="1042670" cy="120967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120克牛皮纸档案袋，单面彩印，宽*长*厚：23*32*3cm，压痕，鸡眼扣+贴片+绳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71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行李装舱交接单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1968" behindDoc="0" locked="0" layoutInCell="1" allowOverlap="1">
                  <wp:simplePos x="0" y="0"/>
                  <wp:positionH relativeFrom="column">
                    <wp:posOffset>166370</wp:posOffset>
                  </wp:positionH>
                  <wp:positionV relativeFrom="paragraph">
                    <wp:posOffset>123825</wp:posOffset>
                  </wp:positionV>
                  <wp:extent cx="1983740" cy="1562100"/>
                  <wp:effectExtent l="0" t="0" r="16510" b="0"/>
                  <wp:wrapNone/>
                  <wp:docPr id="134" name="图片_16_SpCnt_1"/>
                  <wp:cNvGraphicFramePr/>
                  <a:graphic xmlns:a="http://schemas.openxmlformats.org/drawingml/2006/main">
                    <a:graphicData uri="http://schemas.openxmlformats.org/drawingml/2006/picture">
                      <pic:pic xmlns:pic="http://schemas.openxmlformats.org/drawingml/2006/picture">
                        <pic:nvPicPr>
                          <pic:cNvPr id="134" name="图片_16_SpCnt_1"/>
                          <pic:cNvPicPr/>
                        </pic:nvPicPr>
                        <pic:blipFill>
                          <a:blip r:embed="rId43"/>
                          <a:stretch>
                            <a:fillRect/>
                          </a:stretch>
                        </pic:blipFill>
                        <pic:spPr>
                          <a:xfrm>
                            <a:off x="0" y="0"/>
                            <a:ext cx="1983740" cy="156210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A5，顶部可撕，封面棕色牛皮纸，单面印刷，内页：无碳复写纸，一式二联每本50份（100张）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4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特殊旅客免责证明单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2992" behindDoc="0" locked="0" layoutInCell="1" allowOverlap="1">
                  <wp:simplePos x="0" y="0"/>
                  <wp:positionH relativeFrom="column">
                    <wp:posOffset>780415</wp:posOffset>
                  </wp:positionH>
                  <wp:positionV relativeFrom="paragraph">
                    <wp:posOffset>198755</wp:posOffset>
                  </wp:positionV>
                  <wp:extent cx="923290" cy="1216025"/>
                  <wp:effectExtent l="0" t="0" r="10160" b="3175"/>
                  <wp:wrapNone/>
                  <wp:docPr id="135" name="图片_2_SpCnt_1"/>
                  <wp:cNvGraphicFramePr/>
                  <a:graphic xmlns:a="http://schemas.openxmlformats.org/drawingml/2006/main">
                    <a:graphicData uri="http://schemas.openxmlformats.org/drawingml/2006/picture">
                      <pic:pic xmlns:pic="http://schemas.openxmlformats.org/drawingml/2006/picture">
                        <pic:nvPicPr>
                          <pic:cNvPr id="135" name="图片_2_SpCnt_1"/>
                          <pic:cNvPicPr/>
                        </pic:nvPicPr>
                        <pic:blipFill>
                          <a:blip r:embed="rId44"/>
                          <a:stretch>
                            <a:fillRect/>
                          </a:stretch>
                        </pic:blipFill>
                        <pic:spPr>
                          <a:xfrm>
                            <a:off x="0" y="0"/>
                            <a:ext cx="923290" cy="121602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193mm*142mm，封面牛皮纸印字，内页：无碳复写纸，一式两联，有易撕线，每本有垫板，有号码</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5</w:t>
            </w:r>
            <w:r>
              <w:rPr>
                <w:rFonts w:hint="eastAsia" w:ascii="宋体" w:hAnsi="宋体" w:cs="宋体"/>
                <w:color w:val="auto"/>
                <w:kern w:val="0"/>
                <w:szCs w:val="21"/>
                <w:highlight w:val="none"/>
                <w:lang w:bidi="ar"/>
              </w:rPr>
              <w:t>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38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r>
              <w:rPr>
                <w:rFonts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行李集装箱讯息</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4016" behindDoc="0" locked="0" layoutInCell="1" allowOverlap="1">
                  <wp:simplePos x="0" y="0"/>
                  <wp:positionH relativeFrom="column">
                    <wp:posOffset>396875</wp:posOffset>
                  </wp:positionH>
                  <wp:positionV relativeFrom="paragraph">
                    <wp:posOffset>240665</wp:posOffset>
                  </wp:positionV>
                  <wp:extent cx="1723390" cy="1017905"/>
                  <wp:effectExtent l="0" t="0" r="10160" b="10795"/>
                  <wp:wrapNone/>
                  <wp:docPr id="138" name="图片_29"/>
                  <wp:cNvGraphicFramePr/>
                  <a:graphic xmlns:a="http://schemas.openxmlformats.org/drawingml/2006/main">
                    <a:graphicData uri="http://schemas.openxmlformats.org/drawingml/2006/picture">
                      <pic:pic xmlns:pic="http://schemas.openxmlformats.org/drawingml/2006/picture">
                        <pic:nvPicPr>
                          <pic:cNvPr id="138" name="图片_29"/>
                          <pic:cNvPicPr/>
                        </pic:nvPicPr>
                        <pic:blipFill>
                          <a:blip r:embed="rId45"/>
                          <a:stretch>
                            <a:fillRect/>
                          </a:stretch>
                        </pic:blipFill>
                        <pic:spPr>
                          <a:xfrm>
                            <a:off x="0" y="0"/>
                            <a:ext cx="1723390" cy="101790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A4顶部可撕，封面棕色牛皮纸，单面印刷，内页：无碳复写纸，一式二联每本50份（100张）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7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19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《特服旅客防错确认单》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5040" behindDoc="0" locked="0" layoutInCell="1" allowOverlap="1">
                  <wp:simplePos x="0" y="0"/>
                  <wp:positionH relativeFrom="column">
                    <wp:posOffset>757555</wp:posOffset>
                  </wp:positionH>
                  <wp:positionV relativeFrom="paragraph">
                    <wp:posOffset>149860</wp:posOffset>
                  </wp:positionV>
                  <wp:extent cx="888365" cy="1423670"/>
                  <wp:effectExtent l="0" t="0" r="6985" b="5080"/>
                  <wp:wrapNone/>
                  <wp:docPr id="139" name="图片_30"/>
                  <wp:cNvGraphicFramePr/>
                  <a:graphic xmlns:a="http://schemas.openxmlformats.org/drawingml/2006/main">
                    <a:graphicData uri="http://schemas.openxmlformats.org/drawingml/2006/picture">
                      <pic:pic xmlns:pic="http://schemas.openxmlformats.org/drawingml/2006/picture">
                        <pic:nvPicPr>
                          <pic:cNvPr id="139" name="图片_30"/>
                          <pic:cNvPicPr/>
                        </pic:nvPicPr>
                        <pic:blipFill>
                          <a:blip r:embed="rId46"/>
                          <a:stretch>
                            <a:fillRect/>
                          </a:stretch>
                        </pic:blipFill>
                        <pic:spPr>
                          <a:xfrm>
                            <a:off x="0" y="0"/>
                            <a:ext cx="888365" cy="142367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A4，封面封底230克蓝色皮纹单面印刷；内页：无碳复写纸，一式两联单，50份/本，每本100张，有编号，有易撕线，每本有垫板。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4016"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《未成行旅客、行李证明》</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6064" behindDoc="0" locked="0" layoutInCell="1" allowOverlap="1">
                  <wp:simplePos x="0" y="0"/>
                  <wp:positionH relativeFrom="column">
                    <wp:posOffset>-12700</wp:posOffset>
                  </wp:positionH>
                  <wp:positionV relativeFrom="paragraph">
                    <wp:posOffset>140970</wp:posOffset>
                  </wp:positionV>
                  <wp:extent cx="664210" cy="1012190"/>
                  <wp:effectExtent l="0" t="0" r="2540" b="16510"/>
                  <wp:wrapNone/>
                  <wp:docPr id="140" name="图片_4_SpCnt_1"/>
                  <wp:cNvGraphicFramePr/>
                  <a:graphic xmlns:a="http://schemas.openxmlformats.org/drawingml/2006/main">
                    <a:graphicData uri="http://schemas.openxmlformats.org/drawingml/2006/picture">
                      <pic:pic xmlns:pic="http://schemas.openxmlformats.org/drawingml/2006/picture">
                        <pic:nvPicPr>
                          <pic:cNvPr id="140" name="图片_4_SpCnt_1"/>
                          <pic:cNvPicPr/>
                        </pic:nvPicPr>
                        <pic:blipFill>
                          <a:blip r:embed="rId47"/>
                          <a:stretch>
                            <a:fillRect/>
                          </a:stretch>
                        </pic:blipFill>
                        <pic:spPr>
                          <a:xfrm>
                            <a:off x="0" y="0"/>
                            <a:ext cx="664210" cy="1012190"/>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37088" behindDoc="0" locked="0" layoutInCell="1" allowOverlap="1">
                  <wp:simplePos x="0" y="0"/>
                  <wp:positionH relativeFrom="column">
                    <wp:posOffset>479425</wp:posOffset>
                  </wp:positionH>
                  <wp:positionV relativeFrom="paragraph">
                    <wp:posOffset>405130</wp:posOffset>
                  </wp:positionV>
                  <wp:extent cx="969645" cy="1213485"/>
                  <wp:effectExtent l="0" t="0" r="1905" b="5715"/>
                  <wp:wrapNone/>
                  <wp:docPr id="141" name="图片_3_SpCnt_1"/>
                  <wp:cNvGraphicFramePr/>
                  <a:graphic xmlns:a="http://schemas.openxmlformats.org/drawingml/2006/main">
                    <a:graphicData uri="http://schemas.openxmlformats.org/drawingml/2006/picture">
                      <pic:pic xmlns:pic="http://schemas.openxmlformats.org/drawingml/2006/picture">
                        <pic:nvPicPr>
                          <pic:cNvPr id="141" name="图片_3_SpCnt_1"/>
                          <pic:cNvPicPr/>
                        </pic:nvPicPr>
                        <pic:blipFill>
                          <a:blip r:embed="rId48"/>
                          <a:stretch>
                            <a:fillRect/>
                          </a:stretch>
                        </pic:blipFill>
                        <pic:spPr>
                          <a:xfrm>
                            <a:off x="0" y="0"/>
                            <a:ext cx="969645" cy="121348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738112" behindDoc="0" locked="0" layoutInCell="1" allowOverlap="1">
                  <wp:simplePos x="0" y="0"/>
                  <wp:positionH relativeFrom="column">
                    <wp:posOffset>1208405</wp:posOffset>
                  </wp:positionH>
                  <wp:positionV relativeFrom="paragraph">
                    <wp:posOffset>956310</wp:posOffset>
                  </wp:positionV>
                  <wp:extent cx="956945" cy="1419225"/>
                  <wp:effectExtent l="0" t="0" r="14605" b="9525"/>
                  <wp:wrapNone/>
                  <wp:docPr id="142" name="图片_5_SpCnt_1"/>
                  <wp:cNvGraphicFramePr/>
                  <a:graphic xmlns:a="http://schemas.openxmlformats.org/drawingml/2006/main">
                    <a:graphicData uri="http://schemas.openxmlformats.org/drawingml/2006/picture">
                      <pic:pic xmlns:pic="http://schemas.openxmlformats.org/drawingml/2006/picture">
                        <pic:nvPicPr>
                          <pic:cNvPr id="142" name="图片_5_SpCnt_1"/>
                          <pic:cNvPicPr/>
                        </pic:nvPicPr>
                        <pic:blipFill>
                          <a:blip r:embed="rId49"/>
                          <a:stretch>
                            <a:fillRect/>
                          </a:stretch>
                        </pic:blipFill>
                        <pic:spPr>
                          <a:xfrm>
                            <a:off x="0" y="0"/>
                            <a:ext cx="956945" cy="141922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A4，封面棕色牛皮纸单面印刷；内页：无碳复写纸，一式两联，第一联单面黑白印刷，第二联印红色公章，胶成本，50份/本，每本100张，有编号，有易撕线，每本有垫板。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4062"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免除责任行李牌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9136" behindDoc="0" locked="0" layoutInCell="1" allowOverlap="1">
                  <wp:simplePos x="0" y="0"/>
                  <wp:positionH relativeFrom="column">
                    <wp:posOffset>488315</wp:posOffset>
                  </wp:positionH>
                  <wp:positionV relativeFrom="paragraph">
                    <wp:posOffset>198755</wp:posOffset>
                  </wp:positionV>
                  <wp:extent cx="1364615" cy="2246630"/>
                  <wp:effectExtent l="0" t="0" r="6985" b="1270"/>
                  <wp:wrapNone/>
                  <wp:docPr id="143" name="图片_5_SpCnt_2"/>
                  <wp:cNvGraphicFramePr/>
                  <a:graphic xmlns:a="http://schemas.openxmlformats.org/drawingml/2006/main">
                    <a:graphicData uri="http://schemas.openxmlformats.org/drawingml/2006/picture">
                      <pic:pic xmlns:pic="http://schemas.openxmlformats.org/drawingml/2006/picture">
                        <pic:nvPicPr>
                          <pic:cNvPr id="143" name="图片_5_SpCnt_2"/>
                          <pic:cNvPicPr/>
                        </pic:nvPicPr>
                        <pic:blipFill>
                          <a:blip r:embed="rId50"/>
                          <a:stretch>
                            <a:fillRect/>
                          </a:stretch>
                        </pic:blipFill>
                        <pic:spPr>
                          <a:xfrm>
                            <a:off x="0" y="0"/>
                            <a:ext cx="1364615" cy="224663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直角吊卡，250克白卡纸，5.5*20.5CM，双面彩印，反面可写字，打孔加鸡眼扣，穿弹力绳，每张含4个号码，压易撕线3条.</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4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22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锂电池申报和放行单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0160" behindDoc="0" locked="0" layoutInCell="1" allowOverlap="1">
                  <wp:simplePos x="0" y="0"/>
                  <wp:positionH relativeFrom="column">
                    <wp:posOffset>229870</wp:posOffset>
                  </wp:positionH>
                  <wp:positionV relativeFrom="paragraph">
                    <wp:posOffset>165735</wp:posOffset>
                  </wp:positionV>
                  <wp:extent cx="1845310" cy="1393825"/>
                  <wp:effectExtent l="0" t="0" r="2540" b="15875"/>
                  <wp:wrapNone/>
                  <wp:docPr id="144" name="图片_3_SpCnt_2"/>
                  <wp:cNvGraphicFramePr/>
                  <a:graphic xmlns:a="http://schemas.openxmlformats.org/drawingml/2006/main">
                    <a:graphicData uri="http://schemas.openxmlformats.org/drawingml/2006/picture">
                      <pic:pic xmlns:pic="http://schemas.openxmlformats.org/drawingml/2006/picture">
                        <pic:nvPicPr>
                          <pic:cNvPr id="144" name="图片_3_SpCnt_2"/>
                          <pic:cNvPicPr/>
                        </pic:nvPicPr>
                        <pic:blipFill>
                          <a:blip r:embed="rId51"/>
                          <a:stretch>
                            <a:fillRect/>
                          </a:stretch>
                        </pic:blipFill>
                        <pic:spPr>
                          <a:xfrm>
                            <a:off x="0" y="0"/>
                            <a:ext cx="1845310" cy="139382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A5，封面棕色牛皮纸，内页：无碳复写纸，一式三联，每一套右上角加编号，每一页左侧加虚线，100张/本</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34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宁波机场集团有限公司暂存物品凭单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1184" behindDoc="0" locked="0" layoutInCell="1" allowOverlap="1">
                  <wp:simplePos x="0" y="0"/>
                  <wp:positionH relativeFrom="column">
                    <wp:posOffset>93980</wp:posOffset>
                  </wp:positionH>
                  <wp:positionV relativeFrom="paragraph">
                    <wp:posOffset>92710</wp:posOffset>
                  </wp:positionV>
                  <wp:extent cx="1740535" cy="1306195"/>
                  <wp:effectExtent l="0" t="0" r="12065" b="8255"/>
                  <wp:wrapNone/>
                  <wp:docPr id="145" name="图片_5_SpCnt_3"/>
                  <wp:cNvGraphicFramePr/>
                  <a:graphic xmlns:a="http://schemas.openxmlformats.org/drawingml/2006/main">
                    <a:graphicData uri="http://schemas.openxmlformats.org/drawingml/2006/picture">
                      <pic:pic xmlns:pic="http://schemas.openxmlformats.org/drawingml/2006/picture">
                        <pic:nvPicPr>
                          <pic:cNvPr id="145" name="图片_5_SpCnt_3"/>
                          <pic:cNvPicPr/>
                        </pic:nvPicPr>
                        <pic:blipFill>
                          <a:blip r:embed="rId52"/>
                          <a:stretch>
                            <a:fillRect/>
                          </a:stretch>
                        </pic:blipFill>
                        <pic:spPr>
                          <a:xfrm>
                            <a:off x="0" y="0"/>
                            <a:ext cx="1740535" cy="130619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A5，封面棕色牛皮纸，内页：无碳复写纸，一式三联，每一套右上角加编号，每一页左侧加虚线，100张/本</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68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航空器清查和交接单</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2208" behindDoc="0" locked="0" layoutInCell="1" allowOverlap="1">
                  <wp:simplePos x="0" y="0"/>
                  <wp:positionH relativeFrom="column">
                    <wp:posOffset>352425</wp:posOffset>
                  </wp:positionH>
                  <wp:positionV relativeFrom="paragraph">
                    <wp:posOffset>67310</wp:posOffset>
                  </wp:positionV>
                  <wp:extent cx="1503045" cy="2009775"/>
                  <wp:effectExtent l="0" t="0" r="1905" b="9525"/>
                  <wp:wrapNone/>
                  <wp:docPr id="146" name="图片_7_SpCnt_2"/>
                  <wp:cNvGraphicFramePr/>
                  <a:graphic xmlns:a="http://schemas.openxmlformats.org/drawingml/2006/main">
                    <a:graphicData uri="http://schemas.openxmlformats.org/drawingml/2006/picture">
                      <pic:pic xmlns:pic="http://schemas.openxmlformats.org/drawingml/2006/picture">
                        <pic:nvPicPr>
                          <pic:cNvPr id="146" name="图片_7_SpCnt_2"/>
                          <pic:cNvPicPr/>
                        </pic:nvPicPr>
                        <pic:blipFill>
                          <a:blip r:embed="rId53"/>
                          <a:stretch>
                            <a:fillRect/>
                          </a:stretch>
                        </pic:blipFill>
                        <pic:spPr>
                          <a:xfrm>
                            <a:off x="0" y="0"/>
                            <a:ext cx="1503045" cy="200977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A5，横开本，封面230克蓝色皮纹纸，单面单色印刷，内页70克双胶，双面单色印刷，100张/本</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06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安检代邮寄委托书</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3232" behindDoc="0" locked="0" layoutInCell="1" allowOverlap="1">
                  <wp:simplePos x="0" y="0"/>
                  <wp:positionH relativeFrom="column">
                    <wp:posOffset>456565</wp:posOffset>
                  </wp:positionH>
                  <wp:positionV relativeFrom="paragraph">
                    <wp:posOffset>62865</wp:posOffset>
                  </wp:positionV>
                  <wp:extent cx="1331595" cy="1798320"/>
                  <wp:effectExtent l="0" t="0" r="1905" b="11430"/>
                  <wp:wrapNone/>
                  <wp:docPr id="147" name="图片_10_SpCnt_1"/>
                  <wp:cNvGraphicFramePr/>
                  <a:graphic xmlns:a="http://schemas.openxmlformats.org/drawingml/2006/main">
                    <a:graphicData uri="http://schemas.openxmlformats.org/drawingml/2006/picture">
                      <pic:pic xmlns:pic="http://schemas.openxmlformats.org/drawingml/2006/picture">
                        <pic:nvPicPr>
                          <pic:cNvPr id="147" name="图片_10_SpCnt_1"/>
                          <pic:cNvPicPr/>
                        </pic:nvPicPr>
                        <pic:blipFill>
                          <a:blip r:embed="rId54"/>
                          <a:stretch>
                            <a:fillRect/>
                          </a:stretch>
                        </pic:blipFill>
                        <pic:spPr>
                          <a:xfrm>
                            <a:off x="0" y="0"/>
                            <a:ext cx="1331595" cy="179832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A4纸规格，封面棕色牛皮纸，内页：无碳复写纸，一式两联，每一套右上角加编号，每一页顶端加虚线，100张/本</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06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财务部凭证盒</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4256" behindDoc="0" locked="0" layoutInCell="1" allowOverlap="1">
                  <wp:simplePos x="0" y="0"/>
                  <wp:positionH relativeFrom="column">
                    <wp:posOffset>408940</wp:posOffset>
                  </wp:positionH>
                  <wp:positionV relativeFrom="paragraph">
                    <wp:posOffset>251460</wp:posOffset>
                  </wp:positionV>
                  <wp:extent cx="1447165" cy="1428750"/>
                  <wp:effectExtent l="0" t="0" r="635" b="0"/>
                  <wp:wrapNone/>
                  <wp:docPr id="148" name="Picture_1155"/>
                  <wp:cNvGraphicFramePr/>
                  <a:graphic xmlns:a="http://schemas.openxmlformats.org/drawingml/2006/main">
                    <a:graphicData uri="http://schemas.openxmlformats.org/drawingml/2006/picture">
                      <pic:pic xmlns:pic="http://schemas.openxmlformats.org/drawingml/2006/picture">
                        <pic:nvPicPr>
                          <pic:cNvPr id="148" name="Picture_1155"/>
                          <pic:cNvPicPr/>
                        </pic:nvPicPr>
                        <pic:blipFill>
                          <a:blip r:embed="rId55"/>
                          <a:stretch>
                            <a:fillRect/>
                          </a:stretch>
                        </pic:blipFill>
                        <pic:spPr>
                          <a:xfrm>
                            <a:off x="0" y="0"/>
                            <a:ext cx="1447165" cy="142875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定制尺寸：档案盒31*22*3cm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材质：680g国产无酸纸</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77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财务部业务袋</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5280" behindDoc="0" locked="0" layoutInCell="1" allowOverlap="1">
                  <wp:simplePos x="0" y="0"/>
                  <wp:positionH relativeFrom="column">
                    <wp:posOffset>474980</wp:posOffset>
                  </wp:positionH>
                  <wp:positionV relativeFrom="paragraph">
                    <wp:posOffset>186055</wp:posOffset>
                  </wp:positionV>
                  <wp:extent cx="1158240" cy="1360170"/>
                  <wp:effectExtent l="0" t="0" r="3810" b="11430"/>
                  <wp:wrapNone/>
                  <wp:docPr id="149" name="图片_2_SpCnt_2"/>
                  <wp:cNvGraphicFramePr/>
                  <a:graphic xmlns:a="http://schemas.openxmlformats.org/drawingml/2006/main">
                    <a:graphicData uri="http://schemas.openxmlformats.org/drawingml/2006/picture">
                      <pic:pic xmlns:pic="http://schemas.openxmlformats.org/drawingml/2006/picture">
                        <pic:nvPicPr>
                          <pic:cNvPr id="149" name="图片_2_SpCnt_2"/>
                          <pic:cNvPicPr/>
                        </pic:nvPicPr>
                        <pic:blipFill>
                          <a:blip r:embed="rId56"/>
                          <a:stretch>
                            <a:fillRect/>
                          </a:stretch>
                        </pic:blipFill>
                        <pic:spPr>
                          <a:xfrm>
                            <a:off x="0" y="0"/>
                            <a:ext cx="1158240" cy="136017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120克牛皮纸，特大档案袋28*43cm</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26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r>
              <w:rPr>
                <w:rFonts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大信封</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6304" behindDoc="0" locked="0" layoutInCell="1" allowOverlap="1">
                  <wp:simplePos x="0" y="0"/>
                  <wp:positionH relativeFrom="column">
                    <wp:posOffset>180340</wp:posOffset>
                  </wp:positionH>
                  <wp:positionV relativeFrom="paragraph">
                    <wp:posOffset>165735</wp:posOffset>
                  </wp:positionV>
                  <wp:extent cx="1858010" cy="1141095"/>
                  <wp:effectExtent l="0" t="0" r="8890" b="1905"/>
                  <wp:wrapNone/>
                  <wp:docPr id="150" name="图片_15_SpCnt_1"/>
                  <wp:cNvGraphicFramePr/>
                  <a:graphic xmlns:a="http://schemas.openxmlformats.org/drawingml/2006/main">
                    <a:graphicData uri="http://schemas.openxmlformats.org/drawingml/2006/picture">
                      <pic:pic xmlns:pic="http://schemas.openxmlformats.org/drawingml/2006/picture">
                        <pic:nvPicPr>
                          <pic:cNvPr id="150" name="图片_15_SpCnt_1"/>
                          <pic:cNvPicPr/>
                        </pic:nvPicPr>
                        <pic:blipFill>
                          <a:blip r:embed="rId57"/>
                          <a:stretch>
                            <a:fillRect/>
                          </a:stretch>
                        </pic:blipFill>
                        <pic:spPr>
                          <a:xfrm>
                            <a:off x="0" y="0"/>
                            <a:ext cx="1858010" cy="114109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9号(C4)信封:324×229mm，150克牛皮纸，彩色印刷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6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29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中信封</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7328" behindDoc="0" locked="0" layoutInCell="1" allowOverlap="1">
                  <wp:simplePos x="0" y="0"/>
                  <wp:positionH relativeFrom="column">
                    <wp:posOffset>247015</wp:posOffset>
                  </wp:positionH>
                  <wp:positionV relativeFrom="paragraph">
                    <wp:posOffset>65405</wp:posOffset>
                  </wp:positionV>
                  <wp:extent cx="581660" cy="1279525"/>
                  <wp:effectExtent l="0" t="0" r="8890" b="15875"/>
                  <wp:wrapNone/>
                  <wp:docPr id="151" name="图片_12"/>
                  <wp:cNvGraphicFramePr/>
                  <a:graphic xmlns:a="http://schemas.openxmlformats.org/drawingml/2006/main">
                    <a:graphicData uri="http://schemas.openxmlformats.org/drawingml/2006/picture">
                      <pic:pic xmlns:pic="http://schemas.openxmlformats.org/drawingml/2006/picture">
                        <pic:nvPicPr>
                          <pic:cNvPr id="151" name="图片_12"/>
                          <pic:cNvPicPr/>
                        </pic:nvPicPr>
                        <pic:blipFill>
                          <a:blip r:embed="rId58"/>
                          <a:stretch>
                            <a:fillRect/>
                          </a:stretch>
                        </pic:blipFill>
                        <pic:spPr>
                          <a:xfrm>
                            <a:off x="0" y="0"/>
                            <a:ext cx="581660" cy="127952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7号(C5)信封:229×162mm，120克牛皮纸，彩色印刷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309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小信封</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8352" behindDoc="0" locked="0" layoutInCell="1" allowOverlap="1">
                  <wp:simplePos x="0" y="0"/>
                  <wp:positionH relativeFrom="column">
                    <wp:posOffset>125095</wp:posOffset>
                  </wp:positionH>
                  <wp:positionV relativeFrom="paragraph">
                    <wp:posOffset>92075</wp:posOffset>
                  </wp:positionV>
                  <wp:extent cx="808355" cy="1485265"/>
                  <wp:effectExtent l="0" t="0" r="10795" b="635"/>
                  <wp:wrapNone/>
                  <wp:docPr id="152" name="图片_44"/>
                  <wp:cNvGraphicFramePr/>
                  <a:graphic xmlns:a="http://schemas.openxmlformats.org/drawingml/2006/main">
                    <a:graphicData uri="http://schemas.openxmlformats.org/drawingml/2006/picture">
                      <pic:pic xmlns:pic="http://schemas.openxmlformats.org/drawingml/2006/picture">
                        <pic:nvPicPr>
                          <pic:cNvPr id="152" name="图片_44"/>
                          <pic:cNvPicPr/>
                        </pic:nvPicPr>
                        <pic:blipFill>
                          <a:blip r:embed="rId59"/>
                          <a:stretch>
                            <a:fillRect/>
                          </a:stretch>
                        </pic:blipFill>
                        <pic:spPr>
                          <a:xfrm>
                            <a:off x="0" y="0"/>
                            <a:ext cx="808355" cy="148526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5号(DL)信封:220×110mm ，120克牛皮纸　，彩色印刷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941" w:hRule="atLeast"/>
          <w:jc w:val="center"/>
        </w:trPr>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值班日记本</w:t>
            </w:r>
          </w:p>
        </w:tc>
        <w:tc>
          <w:tcPr>
            <w:tcW w:w="38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p>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9376" behindDoc="0" locked="0" layoutInCell="1" allowOverlap="1">
                  <wp:simplePos x="0" y="0"/>
                  <wp:positionH relativeFrom="column">
                    <wp:posOffset>211455</wp:posOffset>
                  </wp:positionH>
                  <wp:positionV relativeFrom="paragraph">
                    <wp:posOffset>77470</wp:posOffset>
                  </wp:positionV>
                  <wp:extent cx="828675" cy="1270000"/>
                  <wp:effectExtent l="0" t="0" r="9525" b="6350"/>
                  <wp:wrapNone/>
                  <wp:docPr id="153" name="图片_17"/>
                  <wp:cNvGraphicFramePr/>
                  <a:graphic xmlns:a="http://schemas.openxmlformats.org/drawingml/2006/main">
                    <a:graphicData uri="http://schemas.openxmlformats.org/drawingml/2006/picture">
                      <pic:pic xmlns:pic="http://schemas.openxmlformats.org/drawingml/2006/picture">
                        <pic:nvPicPr>
                          <pic:cNvPr id="153" name="图片_17"/>
                          <pic:cNvPicPr/>
                        </pic:nvPicPr>
                        <pic:blipFill>
                          <a:blip r:embed="rId60"/>
                          <a:srcRect t="15871" b="10654"/>
                          <a:stretch>
                            <a:fillRect/>
                          </a:stretch>
                        </pic:blipFill>
                        <pic:spPr>
                          <a:xfrm>
                            <a:off x="0" y="0"/>
                            <a:ext cx="828675" cy="1270000"/>
                          </a:xfrm>
                          <a:prstGeom prst="rect">
                            <a:avLst/>
                          </a:prstGeom>
                          <a:noFill/>
                          <a:ln>
                            <a:noFill/>
                          </a:ln>
                        </pic:spPr>
                      </pic:pic>
                    </a:graphicData>
                  </a:graphic>
                </wp:anchor>
              </w:drawing>
            </w:r>
          </w:p>
        </w:tc>
        <w:tc>
          <w:tcPr>
            <w:tcW w:w="1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成品尺寸是198*270mm，精装本，封壳彩印覆光膜，籿2.5mm纸板，菲页120克白卡，内页100张70克双面。</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2</w:t>
            </w:r>
            <w:r>
              <w:rPr>
                <w:rFonts w:hint="eastAsia" w:ascii="宋体" w:hAnsi="宋体" w:cs="宋体"/>
                <w:color w:val="auto"/>
                <w:kern w:val="0"/>
                <w:szCs w:val="21"/>
                <w:highlight w:val="none"/>
                <w:lang w:bidi="ar"/>
              </w:rPr>
              <w:t>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1820" w:hRule="atLeast"/>
          <w:jc w:val="center"/>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会议记录本</w:t>
            </w:r>
          </w:p>
        </w:tc>
        <w:tc>
          <w:tcPr>
            <w:tcW w:w="38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p>
        </w:tc>
        <w:tc>
          <w:tcPr>
            <w:tcW w:w="1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2</w:t>
            </w:r>
            <w:r>
              <w:rPr>
                <w:rFonts w:hint="eastAsia" w:ascii="宋体" w:hAnsi="宋体" w:cs="宋体"/>
                <w:color w:val="auto"/>
                <w:kern w:val="0"/>
                <w:szCs w:val="21"/>
                <w:highlight w:val="none"/>
                <w:lang w:bidi="ar"/>
              </w:rPr>
              <w:t>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1360" w:hRule="atLeast"/>
          <w:jc w:val="center"/>
        </w:trPr>
        <w:tc>
          <w:tcPr>
            <w:tcW w:w="78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各类台帐本20-50本印</w:t>
            </w:r>
          </w:p>
        </w:tc>
        <w:tc>
          <w:tcPr>
            <w:tcW w:w="3848"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0400" behindDoc="0" locked="0" layoutInCell="1" allowOverlap="1">
                  <wp:simplePos x="0" y="0"/>
                  <wp:positionH relativeFrom="column">
                    <wp:posOffset>676910</wp:posOffset>
                  </wp:positionH>
                  <wp:positionV relativeFrom="paragraph">
                    <wp:posOffset>461645</wp:posOffset>
                  </wp:positionV>
                  <wp:extent cx="806450" cy="1691640"/>
                  <wp:effectExtent l="0" t="0" r="3810" b="12700"/>
                  <wp:wrapNone/>
                  <wp:docPr id="154" name="图片_18_SpCnt_1"/>
                  <wp:cNvGraphicFramePr/>
                  <a:graphic xmlns:a="http://schemas.openxmlformats.org/drawingml/2006/main">
                    <a:graphicData uri="http://schemas.openxmlformats.org/drawingml/2006/picture">
                      <pic:pic xmlns:pic="http://schemas.openxmlformats.org/drawingml/2006/picture">
                        <pic:nvPicPr>
                          <pic:cNvPr id="154" name="图片_18_SpCnt_1"/>
                          <pic:cNvPicPr/>
                        </pic:nvPicPr>
                        <pic:blipFill>
                          <a:blip r:embed="rId61"/>
                          <a:stretch>
                            <a:fillRect/>
                          </a:stretch>
                        </pic:blipFill>
                        <pic:spPr>
                          <a:xfrm rot="16200000">
                            <a:off x="0" y="0"/>
                            <a:ext cx="806450" cy="169164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A4、100张，蓝色软面本，内页70克双胶纸，双面单色印刷；封面230克皮纹单色印刷，胶装成册。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w:t>
            </w:r>
            <w:r>
              <w:rPr>
                <w:rFonts w:hint="eastAsia" w:ascii="宋体" w:hAnsi="宋体" w:cs="宋体"/>
                <w:color w:val="auto"/>
                <w:kern w:val="0"/>
                <w:szCs w:val="21"/>
                <w:highlight w:val="none"/>
                <w:lang w:bidi="ar"/>
              </w:rPr>
              <w:t>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1360" w:hRule="atLeast"/>
          <w:jc w:val="center"/>
        </w:trPr>
        <w:tc>
          <w:tcPr>
            <w:tcW w:w="78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各类台帐本100本-200本印</w:t>
            </w:r>
          </w:p>
        </w:tc>
        <w:tc>
          <w:tcPr>
            <w:tcW w:w="3848"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kern w:val="0"/>
                <w:szCs w:val="21"/>
                <w:highlight w:val="none"/>
                <w:bdr w:val="single" w:color="000000" w:sz="4" w:space="0"/>
                <w:lang w:bidi="ar"/>
              </w:rPr>
            </w:pP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A4、100张，蓝色软面本，内页70克双胶纸，双面单色印刷；封面230克皮纹单色印刷，胶装成册。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865" w:hRule="atLeast"/>
          <w:jc w:val="center"/>
        </w:trPr>
        <w:tc>
          <w:tcPr>
            <w:tcW w:w="78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3</w:t>
            </w:r>
          </w:p>
        </w:tc>
        <w:tc>
          <w:tcPr>
            <w:tcW w:w="14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各类消防检查卡</w:t>
            </w:r>
          </w:p>
        </w:tc>
        <w:tc>
          <w:tcPr>
            <w:tcW w:w="384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1424" behindDoc="0" locked="0" layoutInCell="1" allowOverlap="1">
                  <wp:simplePos x="0" y="0"/>
                  <wp:positionH relativeFrom="column">
                    <wp:posOffset>66040</wp:posOffset>
                  </wp:positionH>
                  <wp:positionV relativeFrom="paragraph">
                    <wp:posOffset>69215</wp:posOffset>
                  </wp:positionV>
                  <wp:extent cx="1249680" cy="1588770"/>
                  <wp:effectExtent l="0" t="0" r="7620" b="11430"/>
                  <wp:wrapNone/>
                  <wp:docPr id="155" name="图片_1_SpCnt_4"/>
                  <wp:cNvGraphicFramePr/>
                  <a:graphic xmlns:a="http://schemas.openxmlformats.org/drawingml/2006/main">
                    <a:graphicData uri="http://schemas.openxmlformats.org/drawingml/2006/picture">
                      <pic:pic xmlns:pic="http://schemas.openxmlformats.org/drawingml/2006/picture">
                        <pic:nvPicPr>
                          <pic:cNvPr id="155" name="图片_1_SpCnt_4"/>
                          <pic:cNvPicPr/>
                        </pic:nvPicPr>
                        <pic:blipFill>
                          <a:blip r:embed="rId62"/>
                          <a:stretch>
                            <a:fillRect/>
                          </a:stretch>
                        </pic:blipFill>
                        <pic:spPr>
                          <a:xfrm>
                            <a:off x="0" y="0"/>
                            <a:ext cx="1249680" cy="1588770"/>
                          </a:xfrm>
                          <a:prstGeom prst="rect">
                            <a:avLst/>
                          </a:prstGeom>
                          <a:noFill/>
                          <a:ln>
                            <a:noFill/>
                          </a:ln>
                        </pic:spPr>
                      </pic:pic>
                    </a:graphicData>
                  </a:graphic>
                </wp:anchor>
              </w:drawing>
            </w:r>
          </w:p>
        </w:tc>
        <w:tc>
          <w:tcPr>
            <w:tcW w:w="149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22cm*15cm</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350克灰板卡，正反面印刷，打孔，穿绳</w:t>
            </w:r>
          </w:p>
        </w:tc>
        <w:tc>
          <w:tcPr>
            <w:tcW w:w="112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20000</w:t>
            </w:r>
          </w:p>
        </w:tc>
        <w:tc>
          <w:tcPr>
            <w:tcW w:w="12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85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封条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2448" behindDoc="0" locked="0" layoutInCell="1" allowOverlap="1">
                  <wp:simplePos x="0" y="0"/>
                  <wp:positionH relativeFrom="column">
                    <wp:posOffset>47625</wp:posOffset>
                  </wp:positionH>
                  <wp:positionV relativeFrom="paragraph">
                    <wp:posOffset>130810</wp:posOffset>
                  </wp:positionV>
                  <wp:extent cx="1220470" cy="1574800"/>
                  <wp:effectExtent l="0" t="0" r="17780" b="6350"/>
                  <wp:wrapNone/>
                  <wp:docPr id="156" name="图片_56"/>
                  <wp:cNvGraphicFramePr/>
                  <a:graphic xmlns:a="http://schemas.openxmlformats.org/drawingml/2006/main">
                    <a:graphicData uri="http://schemas.openxmlformats.org/drawingml/2006/picture">
                      <pic:pic xmlns:pic="http://schemas.openxmlformats.org/drawingml/2006/picture">
                        <pic:nvPicPr>
                          <pic:cNvPr id="156" name="图片_56"/>
                          <pic:cNvPicPr/>
                        </pic:nvPicPr>
                        <pic:blipFill>
                          <a:blip r:embed="rId63"/>
                          <a:stretch>
                            <a:fillRect/>
                          </a:stretch>
                        </pic:blipFill>
                        <pic:spPr>
                          <a:xfrm>
                            <a:off x="0" y="0"/>
                            <a:ext cx="1220470" cy="157480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A4纸，不干胶，彩印，每张22个封条，压4条齿线。</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85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机务工卡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4736" behindDoc="0" locked="0" layoutInCell="1" allowOverlap="1">
                  <wp:simplePos x="0" y="0"/>
                  <wp:positionH relativeFrom="column">
                    <wp:posOffset>36830</wp:posOffset>
                  </wp:positionH>
                  <wp:positionV relativeFrom="paragraph">
                    <wp:posOffset>150495</wp:posOffset>
                  </wp:positionV>
                  <wp:extent cx="1272540" cy="1568450"/>
                  <wp:effectExtent l="0" t="0" r="3810" b="12700"/>
                  <wp:wrapNone/>
                  <wp:docPr id="67" name="图片_1_SpCnt_5"/>
                  <wp:cNvGraphicFramePr/>
                  <a:graphic xmlns:a="http://schemas.openxmlformats.org/drawingml/2006/main">
                    <a:graphicData uri="http://schemas.openxmlformats.org/drawingml/2006/picture">
                      <pic:pic xmlns:pic="http://schemas.openxmlformats.org/drawingml/2006/picture">
                        <pic:nvPicPr>
                          <pic:cNvPr id="67" name="图片_1_SpCnt_5"/>
                          <pic:cNvPicPr/>
                        </pic:nvPicPr>
                        <pic:blipFill>
                          <a:blip r:embed="rId64"/>
                          <a:stretch>
                            <a:fillRect/>
                          </a:stretch>
                        </pic:blipFill>
                        <pic:spPr>
                          <a:xfrm>
                            <a:off x="0" y="0"/>
                            <a:ext cx="1272540" cy="156845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A4,黑白单面印刷  70克纸张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2</w:t>
            </w:r>
            <w:r>
              <w:rPr>
                <w:rFonts w:hint="eastAsia" w:ascii="宋体" w:hAnsi="宋体" w:cs="宋体"/>
                <w:color w:val="auto"/>
                <w:kern w:val="0"/>
                <w:szCs w:val="21"/>
                <w:highlight w:val="none"/>
                <w:lang w:bidi="ar"/>
              </w:rPr>
              <w:t>0000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171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多收行李记录卡</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9616" behindDoc="0" locked="0" layoutInCell="1" allowOverlap="1">
                  <wp:simplePos x="0" y="0"/>
                  <wp:positionH relativeFrom="column">
                    <wp:posOffset>171450</wp:posOffset>
                  </wp:positionH>
                  <wp:positionV relativeFrom="paragraph">
                    <wp:posOffset>85090</wp:posOffset>
                  </wp:positionV>
                  <wp:extent cx="535940" cy="941070"/>
                  <wp:effectExtent l="0" t="0" r="16510" b="11430"/>
                  <wp:wrapNone/>
                  <wp:docPr id="158" name="图片_9"/>
                  <wp:cNvGraphicFramePr/>
                  <a:graphic xmlns:a="http://schemas.openxmlformats.org/drawingml/2006/main">
                    <a:graphicData uri="http://schemas.openxmlformats.org/drawingml/2006/picture">
                      <pic:pic xmlns:pic="http://schemas.openxmlformats.org/drawingml/2006/picture">
                        <pic:nvPicPr>
                          <pic:cNvPr id="158" name="图片_9"/>
                          <pic:cNvPicPr/>
                        </pic:nvPicPr>
                        <pic:blipFill>
                          <a:blip r:embed="rId65"/>
                          <a:stretch>
                            <a:fillRect/>
                          </a:stretch>
                        </pic:blipFill>
                        <pic:spPr>
                          <a:xfrm>
                            <a:off x="0" y="0"/>
                            <a:ext cx="535940" cy="94107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双面专色印刷，压痕，打孔，孔穿弹力绳</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35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劳动合同</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0640" behindDoc="0" locked="0" layoutInCell="1" allowOverlap="1">
                  <wp:simplePos x="0" y="0"/>
                  <wp:positionH relativeFrom="column">
                    <wp:posOffset>121285</wp:posOffset>
                  </wp:positionH>
                  <wp:positionV relativeFrom="paragraph">
                    <wp:posOffset>93345</wp:posOffset>
                  </wp:positionV>
                  <wp:extent cx="641350" cy="1325880"/>
                  <wp:effectExtent l="0" t="0" r="6350" b="7620"/>
                  <wp:wrapNone/>
                  <wp:docPr id="159" name="图片_19_SpCnt_1"/>
                  <wp:cNvGraphicFramePr/>
                  <a:graphic xmlns:a="http://schemas.openxmlformats.org/drawingml/2006/main">
                    <a:graphicData uri="http://schemas.openxmlformats.org/drawingml/2006/picture">
                      <pic:pic xmlns:pic="http://schemas.openxmlformats.org/drawingml/2006/picture">
                        <pic:nvPicPr>
                          <pic:cNvPr id="159" name="图片_19_SpCnt_1"/>
                          <pic:cNvPicPr/>
                        </pic:nvPicPr>
                        <pic:blipFill>
                          <a:blip r:embed="rId66"/>
                          <a:stretch>
                            <a:fillRect/>
                          </a:stretch>
                        </pic:blipFill>
                        <pic:spPr>
                          <a:xfrm>
                            <a:off x="0" y="0"/>
                            <a:ext cx="641350" cy="132588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120克双胶，单色印刷，10页，胶装成册</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1260"/>
                <w:tab w:val="left" w:pos="1900"/>
                <w:tab w:val="left" w:pos="3570"/>
                <w:tab w:val="left" w:pos="4484"/>
              </w:tabs>
              <w:ind w:right="19" w:rightChars="9"/>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1260"/>
                <w:tab w:val="left" w:pos="1900"/>
                <w:tab w:val="left" w:pos="3570"/>
                <w:tab w:val="left" w:pos="4484"/>
              </w:tabs>
              <w:ind w:right="19" w:rightChars="9"/>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1260"/>
                <w:tab w:val="left" w:pos="1900"/>
                <w:tab w:val="left" w:pos="3570"/>
                <w:tab w:val="left" w:pos="4484"/>
              </w:tabs>
              <w:ind w:right="19" w:rightChars="9"/>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280"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r>
              <w:rPr>
                <w:rFonts w:ascii="宋体" w:hAnsi="宋体" w:cs="宋体"/>
                <w:color w:val="auto"/>
                <w:kern w:val="0"/>
                <w:szCs w:val="21"/>
                <w:highlight w:val="none"/>
                <w:lang w:bidi="ar"/>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新员工公共基础知识培训</w:t>
            </w:r>
          </w:p>
        </w:tc>
        <w:tc>
          <w:tcPr>
            <w:tcW w:w="3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1664" behindDoc="0" locked="0" layoutInCell="1" allowOverlap="1">
                  <wp:simplePos x="0" y="0"/>
                  <wp:positionH relativeFrom="column">
                    <wp:posOffset>132715</wp:posOffset>
                  </wp:positionH>
                  <wp:positionV relativeFrom="paragraph">
                    <wp:posOffset>85090</wp:posOffset>
                  </wp:positionV>
                  <wp:extent cx="723900" cy="1266825"/>
                  <wp:effectExtent l="0" t="0" r="0" b="9525"/>
                  <wp:wrapNone/>
                  <wp:docPr id="160" name="图片_53"/>
                  <wp:cNvGraphicFramePr/>
                  <a:graphic xmlns:a="http://schemas.openxmlformats.org/drawingml/2006/main">
                    <a:graphicData uri="http://schemas.openxmlformats.org/drawingml/2006/picture">
                      <pic:pic xmlns:pic="http://schemas.openxmlformats.org/drawingml/2006/picture">
                        <pic:nvPicPr>
                          <pic:cNvPr id="160" name="图片_53"/>
                          <pic:cNvPicPr/>
                        </pic:nvPicPr>
                        <pic:blipFill>
                          <a:blip r:embed="rId67"/>
                          <a:stretch>
                            <a:fillRect/>
                          </a:stretch>
                        </pic:blipFill>
                        <pic:spPr>
                          <a:xfrm>
                            <a:off x="0" y="0"/>
                            <a:ext cx="723900" cy="1266825"/>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A4，封面230克皮纹纸，内页70克双胶152页，胶装</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32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39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特种车辆（设备）操作证内页</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2688" behindDoc="0" locked="0" layoutInCell="1" allowOverlap="1">
                  <wp:simplePos x="0" y="0"/>
                  <wp:positionH relativeFrom="column">
                    <wp:posOffset>56515</wp:posOffset>
                  </wp:positionH>
                  <wp:positionV relativeFrom="paragraph">
                    <wp:posOffset>293370</wp:posOffset>
                  </wp:positionV>
                  <wp:extent cx="1798955" cy="988060"/>
                  <wp:effectExtent l="0" t="0" r="10795" b="2540"/>
                  <wp:wrapNone/>
                  <wp:docPr id="161" name="图片_2_SpCnt_4"/>
                  <wp:cNvGraphicFramePr/>
                  <a:graphic xmlns:a="http://schemas.openxmlformats.org/drawingml/2006/main">
                    <a:graphicData uri="http://schemas.openxmlformats.org/drawingml/2006/picture">
                      <pic:pic xmlns:pic="http://schemas.openxmlformats.org/drawingml/2006/picture">
                        <pic:nvPicPr>
                          <pic:cNvPr id="161" name="图片_2_SpCnt_4"/>
                          <pic:cNvPicPr/>
                        </pic:nvPicPr>
                        <pic:blipFill>
                          <a:blip r:embed="rId68"/>
                          <a:stretch>
                            <a:fillRect/>
                          </a:stretch>
                        </pic:blipFill>
                        <pic:spPr>
                          <a:xfrm>
                            <a:off x="0" y="0"/>
                            <a:ext cx="1798955" cy="98806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长*宽9.6cm*6.8cm，正反四页</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Cs w:val="21"/>
                <w:highlight w:val="none"/>
                <w:lang w:bidi="ar"/>
              </w:rPr>
            </w:pPr>
          </w:p>
        </w:tc>
      </w:tr>
      <w:tr>
        <w:tblPrEx>
          <w:tblCellMar>
            <w:top w:w="0" w:type="dxa"/>
            <w:left w:w="108" w:type="dxa"/>
            <w:bottom w:w="0" w:type="dxa"/>
            <w:right w:w="108" w:type="dxa"/>
          </w:tblCellMar>
        </w:tblPrEx>
        <w:trPr>
          <w:trHeight w:val="2355" w:hRule="atLeast"/>
          <w:jc w:val="center"/>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ascii="宋体" w:hAnsi="宋体" w:cs="宋体"/>
                <w:color w:val="auto"/>
                <w:kern w:val="0"/>
                <w:szCs w:val="21"/>
                <w:highlight w:val="none"/>
                <w:lang w:bidi="ar"/>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电话本</w:t>
            </w:r>
          </w:p>
        </w:tc>
        <w:tc>
          <w:tcPr>
            <w:tcW w:w="38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3712" behindDoc="0" locked="0" layoutInCell="1" allowOverlap="1">
                  <wp:simplePos x="0" y="0"/>
                  <wp:positionH relativeFrom="column">
                    <wp:posOffset>296545</wp:posOffset>
                  </wp:positionH>
                  <wp:positionV relativeFrom="paragraph">
                    <wp:posOffset>73660</wp:posOffset>
                  </wp:positionV>
                  <wp:extent cx="1016635" cy="1355090"/>
                  <wp:effectExtent l="0" t="0" r="16510" b="12065"/>
                  <wp:wrapNone/>
                  <wp:docPr id="162" name="图片_2_SpCnt_5"/>
                  <wp:cNvGraphicFramePr/>
                  <a:graphic xmlns:a="http://schemas.openxmlformats.org/drawingml/2006/main">
                    <a:graphicData uri="http://schemas.openxmlformats.org/drawingml/2006/picture">
                      <pic:pic xmlns:pic="http://schemas.openxmlformats.org/drawingml/2006/picture">
                        <pic:nvPicPr>
                          <pic:cNvPr id="162" name="图片_2_SpCnt_5"/>
                          <pic:cNvPicPr/>
                        </pic:nvPicPr>
                        <pic:blipFill>
                          <a:blip r:embed="rId69"/>
                          <a:stretch>
                            <a:fillRect/>
                          </a:stretch>
                        </pic:blipFill>
                        <pic:spPr>
                          <a:xfrm rot="16200000">
                            <a:off x="0" y="0"/>
                            <a:ext cx="1016635" cy="1355090"/>
                          </a:xfrm>
                          <a:prstGeom prst="rect">
                            <a:avLst/>
                          </a:prstGeom>
                          <a:noFill/>
                          <a:ln>
                            <a:noFill/>
                          </a:ln>
                        </pic:spPr>
                      </pic:pic>
                    </a:graphicData>
                  </a:graphic>
                </wp:anchor>
              </w:drawing>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szCs w:val="21"/>
                <w:highlight w:val="none"/>
              </w:rPr>
            </w:pPr>
            <w:r>
              <w:rPr>
                <w:rFonts w:hint="eastAsia" w:ascii="宋体" w:hAnsi="宋体" w:cs="宋体"/>
                <w:color w:val="auto"/>
                <w:szCs w:val="21"/>
                <w:highlight w:val="none"/>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82" w:hRule="atLeast"/>
          <w:jc w:val="center"/>
        </w:trPr>
        <w:tc>
          <w:tcPr>
            <w:tcW w:w="985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1"/>
              <w:jc w:val="center"/>
              <w:rPr>
                <w:rFonts w:ascii="宋体" w:hAnsi="宋体" w:cs="宋体"/>
                <w:color w:val="auto"/>
                <w:szCs w:val="21"/>
                <w:highlight w:val="none"/>
              </w:rPr>
            </w:pPr>
            <w:r>
              <w:rPr>
                <w:rFonts w:hint="eastAsia" w:ascii="宋体" w:hAnsi="宋体" w:cs="宋体"/>
                <w:b/>
                <w:bCs/>
                <w:color w:val="auto"/>
                <w:kern w:val="0"/>
                <w:sz w:val="20"/>
                <w:highlight w:val="none"/>
              </w:rPr>
              <w:t>合 计（不含税）</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15" w:hRule="atLeast"/>
          <w:jc w:val="center"/>
        </w:trPr>
        <w:tc>
          <w:tcPr>
            <w:tcW w:w="985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1"/>
              <w:jc w:val="center"/>
              <w:rPr>
                <w:rFonts w:ascii="宋体" w:hAnsi="宋体" w:cs="宋体"/>
                <w:color w:val="auto"/>
                <w:szCs w:val="21"/>
                <w:highlight w:val="none"/>
              </w:rPr>
            </w:pPr>
            <w:r>
              <w:rPr>
                <w:rFonts w:hint="eastAsia" w:ascii="宋体" w:hAnsi="宋体" w:cs="宋体"/>
                <w:b/>
                <w:bCs/>
                <w:color w:val="auto"/>
                <w:kern w:val="0"/>
                <w:sz w:val="20"/>
                <w:highlight w:val="none"/>
              </w:rPr>
              <w:t>税率</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22" w:hRule="atLeast"/>
          <w:jc w:val="center"/>
        </w:trPr>
        <w:tc>
          <w:tcPr>
            <w:tcW w:w="985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01"/>
              <w:jc w:val="center"/>
              <w:rPr>
                <w:rFonts w:ascii="宋体" w:hAnsi="宋体" w:cs="宋体"/>
                <w:color w:val="auto"/>
                <w:szCs w:val="21"/>
                <w:highlight w:val="none"/>
              </w:rPr>
            </w:pPr>
            <w:r>
              <w:rPr>
                <w:rFonts w:hint="eastAsia" w:ascii="宋体" w:hAnsi="宋体" w:cs="宋体"/>
                <w:b/>
                <w:bCs/>
                <w:color w:val="auto"/>
                <w:kern w:val="0"/>
                <w:sz w:val="20"/>
                <w:highlight w:val="none"/>
              </w:rPr>
              <w:t>合 计（含税）</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Cs w:val="21"/>
                <w:highlight w:val="none"/>
              </w:rPr>
            </w:pPr>
          </w:p>
        </w:tc>
      </w:tr>
    </w:tbl>
    <w:p>
      <w:pPr>
        <w:rPr>
          <w:rFonts w:ascii="Cambria" w:hAnsi="Cambria"/>
          <w:b/>
          <w:bCs/>
          <w:color w:val="auto"/>
          <w:sz w:val="36"/>
          <w:szCs w:val="36"/>
          <w:highlight w:val="none"/>
        </w:rPr>
      </w:pPr>
    </w:p>
    <w:p>
      <w:pPr>
        <w:rPr>
          <w:rFonts w:ascii="Cambria" w:hAnsi="Cambria"/>
          <w:b/>
          <w:bCs/>
          <w:color w:val="auto"/>
          <w:sz w:val="36"/>
          <w:szCs w:val="36"/>
          <w:highlight w:val="none"/>
        </w:rPr>
      </w:pPr>
    </w:p>
    <w:p>
      <w:pPr>
        <w:spacing w:line="400" w:lineRule="exact"/>
        <w:ind w:firstLine="240"/>
        <w:jc w:val="left"/>
        <w:rPr>
          <w:rFonts w:ascii="宋体" w:hAnsi="宋体" w:cs="宋体"/>
          <w:color w:val="auto"/>
          <w:sz w:val="24"/>
          <w:highlight w:val="none"/>
        </w:rPr>
      </w:pPr>
    </w:p>
    <w:p>
      <w:pPr>
        <w:spacing w:line="400" w:lineRule="exact"/>
        <w:ind w:firstLine="240"/>
        <w:jc w:val="left"/>
        <w:rPr>
          <w:rFonts w:ascii="宋体" w:hAnsi="宋体" w:cs="宋体"/>
          <w:color w:val="auto"/>
          <w:sz w:val="24"/>
          <w:highlight w:val="none"/>
        </w:rPr>
      </w:pPr>
    </w:p>
    <w:p>
      <w:pPr>
        <w:spacing w:line="400" w:lineRule="exact"/>
        <w:ind w:firstLine="240"/>
        <w:jc w:val="left"/>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日    期：</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p>
    <w:p>
      <w:pPr>
        <w:rPr>
          <w:rFonts w:ascii="Cambria" w:hAnsi="Cambria"/>
          <w:b/>
          <w:bCs/>
          <w:color w:val="auto"/>
          <w:sz w:val="36"/>
          <w:szCs w:val="36"/>
          <w:highlight w:val="none"/>
        </w:rPr>
      </w:pPr>
      <w:r>
        <w:rPr>
          <w:rFonts w:hint="eastAsia" w:ascii="Cambria" w:hAnsi="Cambria"/>
          <w:b/>
          <w:bCs/>
          <w:color w:val="auto"/>
          <w:sz w:val="36"/>
          <w:szCs w:val="36"/>
          <w:highlight w:val="none"/>
        </w:rPr>
        <w:br w:type="page"/>
      </w:r>
    </w:p>
    <w:p>
      <w:pPr>
        <w:keepNext/>
        <w:keepLines/>
        <w:spacing w:line="400" w:lineRule="exact"/>
        <w:jc w:val="center"/>
        <w:outlineLvl w:val="1"/>
        <w:rPr>
          <w:rFonts w:ascii="Cambria" w:hAnsi="Cambria"/>
          <w:b/>
          <w:bCs/>
          <w:color w:val="auto"/>
          <w:sz w:val="36"/>
          <w:szCs w:val="36"/>
          <w:highlight w:val="none"/>
        </w:rPr>
      </w:pPr>
      <w:r>
        <w:rPr>
          <w:rFonts w:hint="eastAsia" w:ascii="Cambria" w:hAnsi="Cambria"/>
          <w:b/>
          <w:bCs/>
          <w:color w:val="auto"/>
          <w:sz w:val="36"/>
          <w:szCs w:val="36"/>
          <w:highlight w:val="none"/>
        </w:rPr>
        <w:t>四、投标人资格证明文件</w:t>
      </w:r>
    </w:p>
    <w:p>
      <w:pPr>
        <w:overflowPunct w:val="0"/>
        <w:autoSpaceDE w:val="0"/>
        <w:autoSpaceDN w:val="0"/>
        <w:spacing w:line="400" w:lineRule="exact"/>
        <w:ind w:left="839" w:firstLine="321"/>
        <w:jc w:val="center"/>
        <w:rPr>
          <w:rFonts w:ascii="宋体" w:hAnsi="宋体" w:cs="宋体"/>
          <w:b/>
          <w:color w:val="auto"/>
          <w:sz w:val="32"/>
          <w:szCs w:val="32"/>
          <w:highlight w:val="none"/>
        </w:rPr>
      </w:pPr>
    </w:p>
    <w:p>
      <w:pPr>
        <w:overflowPunct w:val="0"/>
        <w:autoSpaceDE w:val="0"/>
        <w:autoSpaceDN w:val="0"/>
        <w:ind w:left="839" w:firstLine="321"/>
        <w:jc w:val="center"/>
        <w:rPr>
          <w:rFonts w:ascii="宋体" w:hAnsi="宋体" w:cs="宋体"/>
          <w:b/>
          <w:color w:val="auto"/>
          <w:sz w:val="32"/>
          <w:szCs w:val="32"/>
          <w:highlight w:val="none"/>
        </w:rPr>
      </w:pPr>
    </w:p>
    <w:p>
      <w:pPr>
        <w:spacing w:line="360" w:lineRule="auto"/>
        <w:ind w:firstLine="321"/>
        <w:jc w:val="center"/>
        <w:rPr>
          <w:rFonts w:ascii="宋体" w:hAnsi="宋体" w:cs="宋体"/>
          <w:b/>
          <w:color w:val="auto"/>
          <w:sz w:val="32"/>
          <w:szCs w:val="32"/>
          <w:highlight w:val="none"/>
        </w:rPr>
      </w:pPr>
      <w:r>
        <w:rPr>
          <w:rFonts w:hint="eastAsia" w:ascii="宋体" w:hAnsi="宋体" w:cs="宋体"/>
          <w:b/>
          <w:color w:val="auto"/>
          <w:sz w:val="32"/>
          <w:szCs w:val="32"/>
          <w:highlight w:val="none"/>
        </w:rPr>
        <w:t>4.1投标人一般情况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963"/>
        <w:gridCol w:w="491"/>
        <w:gridCol w:w="176"/>
        <w:gridCol w:w="810"/>
        <w:gridCol w:w="525"/>
        <w:gridCol w:w="263"/>
        <w:gridCol w:w="1348"/>
        <w:gridCol w:w="27"/>
        <w:gridCol w:w="690"/>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0"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企业名称</w:t>
            </w:r>
          </w:p>
        </w:tc>
        <w:tc>
          <w:tcPr>
            <w:tcW w:w="1739" w:type="pct"/>
            <w:gridSpan w:val="5"/>
            <w:vAlign w:val="center"/>
          </w:tcPr>
          <w:p>
            <w:pPr>
              <w:snapToGrid w:val="0"/>
              <w:ind w:left="-170" w:right="-170" w:firstLine="220"/>
              <w:jc w:val="center"/>
              <w:rPr>
                <w:rFonts w:ascii="宋体" w:hAnsi="宋体" w:cs="宋体"/>
                <w:color w:val="auto"/>
                <w:sz w:val="22"/>
                <w:highlight w:val="none"/>
              </w:rPr>
            </w:pPr>
          </w:p>
        </w:tc>
        <w:tc>
          <w:tcPr>
            <w:tcW w:w="961"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主管部门</w:t>
            </w:r>
          </w:p>
        </w:tc>
        <w:tc>
          <w:tcPr>
            <w:tcW w:w="1500" w:type="pct"/>
            <w:gridSpan w:val="2"/>
            <w:vAlign w:val="center"/>
          </w:tcPr>
          <w:p>
            <w:pPr>
              <w:snapToGrid w:val="0"/>
              <w:ind w:left="-170" w:right="-170" w:firstLine="220"/>
              <w:jc w:val="center"/>
              <w:rPr>
                <w:rFonts w:ascii="宋体" w:hAnsi="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0"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经济类型</w:t>
            </w:r>
          </w:p>
        </w:tc>
        <w:tc>
          <w:tcPr>
            <w:tcW w:w="1739" w:type="pct"/>
            <w:gridSpan w:val="5"/>
            <w:vAlign w:val="center"/>
          </w:tcPr>
          <w:p>
            <w:pPr>
              <w:snapToGrid w:val="0"/>
              <w:ind w:left="-170" w:right="-170" w:firstLine="220"/>
              <w:jc w:val="center"/>
              <w:rPr>
                <w:rFonts w:ascii="宋体" w:hAnsi="宋体" w:cs="宋体"/>
                <w:color w:val="auto"/>
                <w:sz w:val="22"/>
                <w:highlight w:val="none"/>
              </w:rPr>
            </w:pPr>
          </w:p>
        </w:tc>
        <w:tc>
          <w:tcPr>
            <w:tcW w:w="961"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法定代表人</w:t>
            </w:r>
          </w:p>
        </w:tc>
        <w:tc>
          <w:tcPr>
            <w:tcW w:w="1500" w:type="pct"/>
            <w:gridSpan w:val="2"/>
            <w:vAlign w:val="center"/>
          </w:tcPr>
          <w:p>
            <w:pPr>
              <w:snapToGrid w:val="0"/>
              <w:ind w:left="-170" w:right="-170" w:firstLine="220"/>
              <w:jc w:val="center"/>
              <w:rPr>
                <w:rFonts w:ascii="宋体" w:hAnsi="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0" w:type="pct"/>
            <w:vAlign w:val="center"/>
          </w:tcPr>
          <w:p>
            <w:pPr>
              <w:snapToGrid w:val="0"/>
              <w:ind w:left="-170" w:right="-170" w:firstLine="220"/>
              <w:jc w:val="center"/>
              <w:rPr>
                <w:rFonts w:ascii="宋体" w:hAnsi="宋体" w:cs="宋体"/>
                <w:color w:val="auto"/>
                <w:sz w:val="22"/>
                <w:highlight w:val="none"/>
              </w:rPr>
            </w:pPr>
          </w:p>
          <w:p>
            <w:pPr>
              <w:snapToGrid w:val="0"/>
              <w:ind w:left="-170" w:right="-170" w:firstLine="220"/>
              <w:jc w:val="center"/>
              <w:rPr>
                <w:rFonts w:ascii="宋体" w:hAnsi="宋体" w:cs="宋体"/>
                <w:color w:val="auto"/>
                <w:sz w:val="22"/>
                <w:highlight w:val="none"/>
              </w:rPr>
            </w:pP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单位简介</w:t>
            </w:r>
            <w:r>
              <w:rPr>
                <w:rFonts w:ascii="宋体" w:hAnsi="宋体" w:cs="宋体"/>
                <w:color w:val="auto"/>
                <w:sz w:val="22"/>
                <w:highlight w:val="none"/>
              </w:rPr>
              <w:t>及组织机构框图</w:t>
            </w:r>
          </w:p>
          <w:p>
            <w:pPr>
              <w:snapToGrid w:val="0"/>
              <w:ind w:left="-170" w:right="-170" w:firstLine="220"/>
              <w:jc w:val="center"/>
              <w:rPr>
                <w:rFonts w:ascii="宋体" w:hAnsi="宋体" w:cs="宋体"/>
                <w:color w:val="auto"/>
                <w:sz w:val="22"/>
                <w:highlight w:val="none"/>
              </w:rPr>
            </w:pPr>
          </w:p>
          <w:p>
            <w:pPr>
              <w:snapToGrid w:val="0"/>
              <w:ind w:left="-170" w:right="-170" w:firstLine="220"/>
              <w:jc w:val="center"/>
              <w:rPr>
                <w:rFonts w:ascii="宋体" w:hAnsi="宋体" w:cs="宋体"/>
                <w:color w:val="auto"/>
                <w:sz w:val="22"/>
                <w:highlight w:val="none"/>
              </w:rPr>
            </w:pPr>
          </w:p>
        </w:tc>
        <w:tc>
          <w:tcPr>
            <w:tcW w:w="4200" w:type="pct"/>
            <w:gridSpan w:val="10"/>
            <w:vAlign w:val="center"/>
          </w:tcPr>
          <w:p>
            <w:pPr>
              <w:snapToGrid w:val="0"/>
              <w:ind w:right="-170" w:firstLine="220"/>
              <w:jc w:val="center"/>
              <w:rPr>
                <w:rFonts w:ascii="宋体" w:hAnsi="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0"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单位优势</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及 特 长</w:t>
            </w:r>
          </w:p>
        </w:tc>
        <w:tc>
          <w:tcPr>
            <w:tcW w:w="4200" w:type="pct"/>
            <w:gridSpan w:val="10"/>
            <w:vAlign w:val="center"/>
          </w:tcPr>
          <w:p>
            <w:pPr>
              <w:pStyle w:val="13"/>
              <w:spacing w:before="120" w:after="120"/>
              <w:ind w:firstLine="220"/>
              <w:rPr>
                <w:rFonts w:ascii="宋体" w:hAns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restart"/>
            <w:textDirection w:val="tbRlV"/>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单 位 概 况</w:t>
            </w:r>
          </w:p>
        </w:tc>
        <w:tc>
          <w:tcPr>
            <w:tcW w:w="956"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职工总人数</w:t>
            </w:r>
          </w:p>
        </w:tc>
        <w:tc>
          <w:tcPr>
            <w:tcW w:w="936"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人</w:t>
            </w:r>
          </w:p>
        </w:tc>
        <w:tc>
          <w:tcPr>
            <w:tcW w:w="1212"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工程技术人员</w:t>
            </w:r>
          </w:p>
        </w:tc>
        <w:tc>
          <w:tcPr>
            <w:tcW w:w="1096"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956"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生产工人</w:t>
            </w:r>
          </w:p>
        </w:tc>
        <w:tc>
          <w:tcPr>
            <w:tcW w:w="936"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人</w:t>
            </w:r>
          </w:p>
        </w:tc>
        <w:tc>
          <w:tcPr>
            <w:tcW w:w="1212"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销售人员</w:t>
            </w:r>
          </w:p>
        </w:tc>
        <w:tc>
          <w:tcPr>
            <w:tcW w:w="1096"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565" w:type="pct"/>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固定</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资产</w:t>
            </w:r>
          </w:p>
        </w:tc>
        <w:tc>
          <w:tcPr>
            <w:tcW w:w="866" w:type="pct"/>
            <w:gridSpan w:val="3"/>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万元</w:t>
            </w:r>
          </w:p>
        </w:tc>
        <w:tc>
          <w:tcPr>
            <w:tcW w:w="462" w:type="pct"/>
            <w:gridSpan w:val="2"/>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资金</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性质</w:t>
            </w:r>
          </w:p>
        </w:tc>
        <w:tc>
          <w:tcPr>
            <w:tcW w:w="791"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生产性</w:t>
            </w:r>
          </w:p>
        </w:tc>
        <w:tc>
          <w:tcPr>
            <w:tcW w:w="1517"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565" w:type="pct"/>
            <w:vMerge w:val="continue"/>
            <w:vAlign w:val="center"/>
          </w:tcPr>
          <w:p>
            <w:pPr>
              <w:snapToGrid w:val="0"/>
              <w:ind w:left="-170" w:right="-170" w:firstLine="220"/>
              <w:jc w:val="center"/>
              <w:rPr>
                <w:rFonts w:ascii="宋体" w:hAnsi="宋体" w:cs="宋体"/>
                <w:color w:val="auto"/>
                <w:sz w:val="22"/>
                <w:highlight w:val="none"/>
              </w:rPr>
            </w:pPr>
          </w:p>
        </w:tc>
        <w:tc>
          <w:tcPr>
            <w:tcW w:w="866" w:type="pct"/>
            <w:gridSpan w:val="3"/>
            <w:vMerge w:val="continue"/>
            <w:vAlign w:val="center"/>
          </w:tcPr>
          <w:p>
            <w:pPr>
              <w:snapToGrid w:val="0"/>
              <w:ind w:left="-170" w:right="-170" w:firstLine="220"/>
              <w:jc w:val="center"/>
              <w:rPr>
                <w:rFonts w:ascii="宋体" w:hAnsi="宋体" w:cs="宋体"/>
                <w:color w:val="auto"/>
                <w:sz w:val="22"/>
                <w:highlight w:val="none"/>
              </w:rPr>
            </w:pPr>
          </w:p>
        </w:tc>
        <w:tc>
          <w:tcPr>
            <w:tcW w:w="462" w:type="pct"/>
            <w:gridSpan w:val="2"/>
            <w:vMerge w:val="continue"/>
            <w:vAlign w:val="center"/>
          </w:tcPr>
          <w:p>
            <w:pPr>
              <w:snapToGrid w:val="0"/>
              <w:ind w:left="-170" w:right="-170" w:firstLine="220"/>
              <w:jc w:val="center"/>
              <w:rPr>
                <w:rFonts w:ascii="宋体" w:hAnsi="宋体" w:cs="宋体"/>
                <w:color w:val="auto"/>
                <w:sz w:val="22"/>
                <w:highlight w:val="none"/>
              </w:rPr>
            </w:pPr>
          </w:p>
        </w:tc>
        <w:tc>
          <w:tcPr>
            <w:tcW w:w="791"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非生产性</w:t>
            </w:r>
          </w:p>
        </w:tc>
        <w:tc>
          <w:tcPr>
            <w:tcW w:w="1517"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565" w:type="pct"/>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流动</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资金</w:t>
            </w:r>
          </w:p>
        </w:tc>
        <w:tc>
          <w:tcPr>
            <w:tcW w:w="866" w:type="pct"/>
            <w:gridSpan w:val="3"/>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万元</w:t>
            </w:r>
          </w:p>
        </w:tc>
        <w:tc>
          <w:tcPr>
            <w:tcW w:w="462" w:type="pct"/>
            <w:gridSpan w:val="2"/>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资金</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来源</w:t>
            </w:r>
          </w:p>
        </w:tc>
        <w:tc>
          <w:tcPr>
            <w:tcW w:w="791"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自有资金</w:t>
            </w:r>
          </w:p>
        </w:tc>
        <w:tc>
          <w:tcPr>
            <w:tcW w:w="1517"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565" w:type="pct"/>
            <w:vMerge w:val="continue"/>
            <w:vAlign w:val="center"/>
          </w:tcPr>
          <w:p>
            <w:pPr>
              <w:snapToGrid w:val="0"/>
              <w:ind w:left="-170" w:right="-170" w:firstLine="220"/>
              <w:jc w:val="center"/>
              <w:rPr>
                <w:rFonts w:ascii="宋体" w:hAnsi="宋体" w:cs="宋体"/>
                <w:color w:val="auto"/>
                <w:sz w:val="22"/>
                <w:highlight w:val="none"/>
              </w:rPr>
            </w:pPr>
          </w:p>
        </w:tc>
        <w:tc>
          <w:tcPr>
            <w:tcW w:w="866" w:type="pct"/>
            <w:gridSpan w:val="3"/>
            <w:vMerge w:val="continue"/>
            <w:vAlign w:val="center"/>
          </w:tcPr>
          <w:p>
            <w:pPr>
              <w:snapToGrid w:val="0"/>
              <w:ind w:left="-170" w:right="-170" w:firstLine="220"/>
              <w:jc w:val="center"/>
              <w:rPr>
                <w:rFonts w:ascii="宋体" w:hAnsi="宋体" w:cs="宋体"/>
                <w:color w:val="auto"/>
                <w:sz w:val="22"/>
                <w:highlight w:val="none"/>
              </w:rPr>
            </w:pPr>
          </w:p>
        </w:tc>
        <w:tc>
          <w:tcPr>
            <w:tcW w:w="462" w:type="pct"/>
            <w:gridSpan w:val="2"/>
            <w:vMerge w:val="continue"/>
            <w:vAlign w:val="center"/>
          </w:tcPr>
          <w:p>
            <w:pPr>
              <w:snapToGrid w:val="0"/>
              <w:ind w:left="-170" w:right="-170" w:firstLine="220"/>
              <w:jc w:val="center"/>
              <w:rPr>
                <w:rFonts w:ascii="宋体" w:hAnsi="宋体" w:cs="宋体"/>
                <w:color w:val="auto"/>
                <w:sz w:val="22"/>
                <w:highlight w:val="none"/>
              </w:rPr>
            </w:pPr>
          </w:p>
        </w:tc>
        <w:tc>
          <w:tcPr>
            <w:tcW w:w="791"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银行贷款</w:t>
            </w:r>
          </w:p>
        </w:tc>
        <w:tc>
          <w:tcPr>
            <w:tcW w:w="1517" w:type="pct"/>
            <w:gridSpan w:val="3"/>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trPr>
        <w:tc>
          <w:tcPr>
            <w:tcW w:w="800" w:type="pc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经营</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范围</w:t>
            </w:r>
          </w:p>
        </w:tc>
        <w:tc>
          <w:tcPr>
            <w:tcW w:w="4200" w:type="pct"/>
            <w:gridSpan w:val="10"/>
            <w:vAlign w:val="center"/>
          </w:tcPr>
          <w:p>
            <w:pPr>
              <w:snapToGrid w:val="0"/>
              <w:ind w:left="-170" w:right="-170" w:firstLine="220"/>
              <w:jc w:val="center"/>
              <w:rPr>
                <w:rFonts w:ascii="宋体" w:hAnsi="宋体" w:cs="宋体"/>
                <w:color w:val="auto"/>
                <w:sz w:val="22"/>
                <w:highlight w:val="none"/>
              </w:rPr>
            </w:pPr>
          </w:p>
          <w:p>
            <w:pPr>
              <w:snapToGrid w:val="0"/>
              <w:ind w:right="-170" w:firstLine="220"/>
              <w:jc w:val="center"/>
              <w:rPr>
                <w:rFonts w:ascii="宋体" w:hAnsi="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restart"/>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经 济</w:t>
            </w:r>
          </w:p>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指 标</w:t>
            </w:r>
          </w:p>
        </w:tc>
        <w:tc>
          <w:tcPr>
            <w:tcW w:w="853" w:type="pct"/>
            <w:gridSpan w:val="2"/>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年份</w:t>
            </w:r>
          </w:p>
        </w:tc>
        <w:tc>
          <w:tcPr>
            <w:tcW w:w="3347" w:type="pct"/>
            <w:gridSpan w:val="8"/>
            <w:vAlign w:val="center"/>
          </w:tcPr>
          <w:p>
            <w:pPr>
              <w:snapToGrid w:val="0"/>
              <w:ind w:left="-170" w:right="-170" w:firstLine="220"/>
              <w:jc w:val="center"/>
              <w:rPr>
                <w:rFonts w:ascii="宋体" w:hAnsi="宋体" w:cs="宋体"/>
                <w:color w:val="auto"/>
                <w:sz w:val="22"/>
                <w:highlight w:val="none"/>
              </w:rPr>
            </w:pPr>
            <w:r>
              <w:rPr>
                <w:rFonts w:hint="eastAsia" w:ascii="宋体" w:hAnsi="宋体" w:cs="宋体"/>
                <w:color w:val="auto"/>
                <w:sz w:val="22"/>
                <w:highlight w:val="none"/>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853" w:type="pct"/>
            <w:gridSpan w:val="2"/>
            <w:vAlign w:val="center"/>
          </w:tcPr>
          <w:p>
            <w:pPr>
              <w:snapToGrid w:val="0"/>
              <w:ind w:left="-170" w:right="-170" w:firstLine="220"/>
              <w:jc w:val="center"/>
              <w:rPr>
                <w:rFonts w:ascii="宋体" w:hAnsi="宋体" w:cs="宋体"/>
                <w:color w:val="auto"/>
                <w:sz w:val="22"/>
                <w:highlight w:val="none"/>
              </w:rPr>
            </w:pPr>
          </w:p>
        </w:tc>
        <w:tc>
          <w:tcPr>
            <w:tcW w:w="3347" w:type="pct"/>
            <w:gridSpan w:val="8"/>
            <w:vAlign w:val="center"/>
          </w:tcPr>
          <w:p>
            <w:pPr>
              <w:snapToGrid w:val="0"/>
              <w:ind w:left="-170" w:right="-170" w:firstLine="220"/>
              <w:jc w:val="center"/>
              <w:rPr>
                <w:rFonts w:ascii="宋体" w:hAnsi="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vAlign w:val="center"/>
          </w:tcPr>
          <w:p>
            <w:pPr>
              <w:snapToGrid w:val="0"/>
              <w:ind w:left="-170" w:right="-170" w:firstLine="220"/>
              <w:jc w:val="center"/>
              <w:rPr>
                <w:rFonts w:ascii="宋体" w:hAnsi="宋体" w:cs="宋体"/>
                <w:color w:val="auto"/>
                <w:sz w:val="22"/>
                <w:highlight w:val="none"/>
              </w:rPr>
            </w:pPr>
          </w:p>
        </w:tc>
        <w:tc>
          <w:tcPr>
            <w:tcW w:w="853" w:type="pct"/>
            <w:gridSpan w:val="2"/>
            <w:vAlign w:val="center"/>
          </w:tcPr>
          <w:p>
            <w:pPr>
              <w:snapToGrid w:val="0"/>
              <w:ind w:left="-170" w:right="-170" w:firstLine="220"/>
              <w:jc w:val="center"/>
              <w:rPr>
                <w:rFonts w:ascii="宋体" w:hAnsi="宋体" w:cs="宋体"/>
                <w:color w:val="auto"/>
                <w:sz w:val="22"/>
                <w:highlight w:val="none"/>
              </w:rPr>
            </w:pPr>
          </w:p>
        </w:tc>
        <w:tc>
          <w:tcPr>
            <w:tcW w:w="3347" w:type="pct"/>
            <w:gridSpan w:val="8"/>
            <w:vAlign w:val="center"/>
          </w:tcPr>
          <w:p>
            <w:pPr>
              <w:snapToGrid w:val="0"/>
              <w:ind w:left="-170" w:right="-170" w:firstLine="220"/>
              <w:jc w:val="center"/>
              <w:rPr>
                <w:rFonts w:ascii="宋体" w:hAnsi="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0" w:type="pct"/>
            <w:vMerge w:val="continue"/>
            <w:tcBorders>
              <w:bottom w:val="single" w:color="auto" w:sz="4" w:space="0"/>
            </w:tcBorders>
            <w:vAlign w:val="center"/>
          </w:tcPr>
          <w:p>
            <w:pPr>
              <w:snapToGrid w:val="0"/>
              <w:ind w:left="-170" w:right="-170" w:firstLine="220"/>
              <w:jc w:val="center"/>
              <w:rPr>
                <w:rFonts w:ascii="宋体" w:hAnsi="宋体" w:cs="宋体"/>
                <w:color w:val="auto"/>
                <w:sz w:val="22"/>
                <w:highlight w:val="none"/>
              </w:rPr>
            </w:pPr>
          </w:p>
        </w:tc>
        <w:tc>
          <w:tcPr>
            <w:tcW w:w="853" w:type="pct"/>
            <w:gridSpan w:val="2"/>
            <w:tcBorders>
              <w:bottom w:val="single" w:color="auto" w:sz="4" w:space="0"/>
            </w:tcBorders>
            <w:vAlign w:val="center"/>
          </w:tcPr>
          <w:p>
            <w:pPr>
              <w:snapToGrid w:val="0"/>
              <w:ind w:left="-170" w:right="-170" w:firstLine="220"/>
              <w:jc w:val="center"/>
              <w:rPr>
                <w:rFonts w:ascii="宋体" w:hAnsi="宋体" w:cs="宋体"/>
                <w:color w:val="auto"/>
                <w:sz w:val="22"/>
                <w:highlight w:val="none"/>
              </w:rPr>
            </w:pPr>
          </w:p>
        </w:tc>
        <w:tc>
          <w:tcPr>
            <w:tcW w:w="3347" w:type="pct"/>
            <w:gridSpan w:val="8"/>
            <w:tcBorders>
              <w:bottom w:val="single" w:color="auto" w:sz="4" w:space="0"/>
            </w:tcBorders>
            <w:vAlign w:val="center"/>
          </w:tcPr>
          <w:p>
            <w:pPr>
              <w:snapToGrid w:val="0"/>
              <w:ind w:left="-170" w:right="-170" w:firstLine="220"/>
              <w:jc w:val="center"/>
              <w:rPr>
                <w:rFonts w:ascii="宋体" w:hAnsi="宋体" w:cs="宋体"/>
                <w:color w:val="auto"/>
                <w:sz w:val="22"/>
                <w:highlight w:val="none"/>
              </w:rPr>
            </w:pPr>
          </w:p>
        </w:tc>
      </w:tr>
    </w:tbl>
    <w:p>
      <w:pPr>
        <w:overflowPunct w:val="0"/>
        <w:autoSpaceDE w:val="0"/>
        <w:autoSpaceDN w:val="0"/>
        <w:ind w:firstLine="220"/>
        <w:rPr>
          <w:rFonts w:ascii="宋体" w:hAnsi="宋体" w:cs="Calibri"/>
          <w:color w:val="auto"/>
          <w:sz w:val="22"/>
          <w:highlight w:val="none"/>
        </w:rPr>
      </w:pPr>
      <w:r>
        <w:rPr>
          <w:rFonts w:hint="eastAsia" w:ascii="宋体" w:hAnsi="宋体" w:cs="Calibri"/>
          <w:color w:val="auto"/>
          <w:sz w:val="22"/>
          <w:highlight w:val="none"/>
        </w:rPr>
        <w:t>附营业执照、</w:t>
      </w:r>
      <w:r>
        <w:rPr>
          <w:rFonts w:ascii="宋体" w:hAnsi="宋体" w:cs="Calibri"/>
          <w:color w:val="auto"/>
          <w:sz w:val="22"/>
          <w:highlight w:val="none"/>
        </w:rPr>
        <w:t>一般纳税人证明材料</w:t>
      </w:r>
    </w:p>
    <w:p>
      <w:pPr>
        <w:overflowPunct w:val="0"/>
        <w:autoSpaceDE w:val="0"/>
        <w:autoSpaceDN w:val="0"/>
        <w:ind w:firstLine="220"/>
        <w:rPr>
          <w:rFonts w:ascii="宋体" w:hAnsi="宋体" w:cs="Calibri"/>
          <w:color w:val="auto"/>
          <w:sz w:val="22"/>
          <w:highlight w:val="none"/>
        </w:rPr>
      </w:pPr>
    </w:p>
    <w:p>
      <w:pPr>
        <w:spacing w:line="400" w:lineRule="exact"/>
        <w:ind w:firstLine="240"/>
        <w:jc w:val="left"/>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日    期：</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p>
    <w:p>
      <w:pPr>
        <w:overflowPunct w:val="0"/>
        <w:autoSpaceDE w:val="0"/>
        <w:autoSpaceDN w:val="0"/>
        <w:ind w:firstLine="220"/>
        <w:rPr>
          <w:rFonts w:ascii="宋体" w:hAnsi="宋体" w:cs="Calibri"/>
          <w:color w:val="auto"/>
          <w:sz w:val="22"/>
          <w:highlight w:val="none"/>
        </w:rPr>
      </w:pPr>
    </w:p>
    <w:p>
      <w:pPr>
        <w:spacing w:line="360" w:lineRule="auto"/>
        <w:ind w:firstLine="220"/>
        <w:jc w:val="center"/>
        <w:rPr>
          <w:rFonts w:ascii="宋体" w:hAnsi="宋体" w:cs="宋体"/>
          <w:b/>
          <w:color w:val="auto"/>
          <w:sz w:val="32"/>
          <w:szCs w:val="32"/>
          <w:highlight w:val="none"/>
        </w:rPr>
      </w:pPr>
      <w:r>
        <w:rPr>
          <w:rFonts w:ascii="宋体" w:hAnsi="宋体" w:cs="Calibri"/>
          <w:color w:val="auto"/>
          <w:sz w:val="22"/>
          <w:highlight w:val="none"/>
        </w:rPr>
        <w:br w:type="page"/>
      </w:r>
      <w:r>
        <w:rPr>
          <w:rFonts w:hint="eastAsia" w:ascii="宋体" w:hAnsi="宋体" w:cs="宋体"/>
          <w:b/>
          <w:color w:val="auto"/>
          <w:sz w:val="32"/>
          <w:szCs w:val="32"/>
          <w:highlight w:val="none"/>
        </w:rPr>
        <w:t>4.</w:t>
      </w:r>
      <w:r>
        <w:rPr>
          <w:rFonts w:ascii="宋体" w:hAnsi="宋体" w:cs="宋体"/>
          <w:b/>
          <w:color w:val="auto"/>
          <w:sz w:val="32"/>
          <w:szCs w:val="32"/>
          <w:highlight w:val="none"/>
        </w:rPr>
        <w:t>2</w:t>
      </w:r>
      <w:r>
        <w:rPr>
          <w:rFonts w:hint="eastAsia" w:ascii="宋体" w:hAnsi="宋体" w:cs="宋体"/>
          <w:b/>
          <w:color w:val="auto"/>
          <w:sz w:val="32"/>
          <w:szCs w:val="32"/>
          <w:highlight w:val="none"/>
        </w:rPr>
        <w:t>投标人须具有政府颁发的并在有效期内的印刷经营许可证（须提供印刷经营许可证复印件并加盖投标人公章作为证明材料）</w:t>
      </w:r>
    </w:p>
    <w:p>
      <w:pPr>
        <w:spacing w:line="360" w:lineRule="auto"/>
        <w:ind w:firstLine="321"/>
        <w:jc w:val="center"/>
        <w:rPr>
          <w:rFonts w:ascii="宋体" w:hAnsi="宋体" w:cs="宋体"/>
          <w:b/>
          <w:color w:val="auto"/>
          <w:sz w:val="32"/>
          <w:szCs w:val="32"/>
          <w:highlight w:val="none"/>
        </w:rPr>
      </w:pPr>
    </w:p>
    <w:p>
      <w:pPr>
        <w:spacing w:line="360" w:lineRule="auto"/>
        <w:ind w:firstLine="321"/>
        <w:jc w:val="center"/>
        <w:rPr>
          <w:rFonts w:ascii="宋体" w:hAnsi="宋体" w:cs="宋体"/>
          <w:b/>
          <w:color w:val="auto"/>
          <w:sz w:val="32"/>
          <w:szCs w:val="32"/>
          <w:highlight w:val="none"/>
        </w:rPr>
      </w:pPr>
    </w:p>
    <w:p>
      <w:pPr>
        <w:spacing w:line="360" w:lineRule="auto"/>
        <w:ind w:firstLine="321"/>
        <w:jc w:val="center"/>
        <w:rPr>
          <w:rFonts w:ascii="宋体" w:hAnsi="宋体" w:cs="宋体"/>
          <w:b/>
          <w:color w:val="auto"/>
          <w:sz w:val="32"/>
          <w:szCs w:val="32"/>
          <w:highlight w:val="none"/>
        </w:rPr>
      </w:pPr>
    </w:p>
    <w:p>
      <w:pPr>
        <w:autoSpaceDE w:val="0"/>
        <w:autoSpaceDN w:val="0"/>
        <w:adjustRightInd w:val="0"/>
        <w:spacing w:line="360" w:lineRule="auto"/>
        <w:jc w:val="center"/>
        <w:rPr>
          <w:rFonts w:cs="微软雅黑"/>
          <w:b/>
          <w:color w:val="auto"/>
          <w:kern w:val="0"/>
          <w:sz w:val="36"/>
          <w:szCs w:val="36"/>
          <w:highlight w:val="none"/>
        </w:rPr>
      </w:pPr>
      <w:r>
        <w:rPr>
          <w:rFonts w:hAnsi="宋体" w:cs="宋体"/>
          <w:color w:val="auto"/>
          <w:highlight w:val="none"/>
        </w:rPr>
        <w:br w:type="page"/>
      </w:r>
      <w:bookmarkEnd w:id="25"/>
      <w:bookmarkEnd w:id="26"/>
      <w:bookmarkEnd w:id="27"/>
      <w:r>
        <w:rPr>
          <w:rFonts w:hint="eastAsia" w:cs="微软雅黑"/>
          <w:b/>
          <w:color w:val="auto"/>
          <w:kern w:val="0"/>
          <w:sz w:val="36"/>
          <w:szCs w:val="36"/>
          <w:highlight w:val="none"/>
        </w:rPr>
        <w:t>五</w:t>
      </w:r>
      <w:r>
        <w:rPr>
          <w:rFonts w:cs="微软雅黑"/>
          <w:b/>
          <w:color w:val="auto"/>
          <w:kern w:val="0"/>
          <w:sz w:val="36"/>
          <w:szCs w:val="36"/>
          <w:highlight w:val="none"/>
        </w:rPr>
        <w:t>、投标保证金</w:t>
      </w:r>
    </w:p>
    <w:p>
      <w:pPr>
        <w:autoSpaceDE w:val="0"/>
        <w:autoSpaceDN w:val="0"/>
        <w:adjustRightInd w:val="0"/>
        <w:spacing w:line="360" w:lineRule="auto"/>
        <w:ind w:left="420" w:leftChars="200"/>
        <w:jc w:val="left"/>
        <w:rPr>
          <w:rFonts w:ascii="宋体" w:hAnsi="宋体" w:cs="微软雅黑"/>
          <w:color w:val="auto"/>
          <w:kern w:val="0"/>
          <w:sz w:val="24"/>
          <w:szCs w:val="21"/>
          <w:highlight w:val="none"/>
        </w:rPr>
      </w:pPr>
    </w:p>
    <w:p>
      <w:pPr>
        <w:autoSpaceDE w:val="0"/>
        <w:autoSpaceDN w:val="0"/>
        <w:adjustRightInd w:val="0"/>
        <w:spacing w:line="360" w:lineRule="auto"/>
        <w:ind w:left="420" w:leftChars="200"/>
        <w:jc w:val="left"/>
        <w:rPr>
          <w:rFonts w:ascii="宋体" w:hAnsi="宋体" w:cs="微软雅黑"/>
          <w:color w:val="auto"/>
          <w:kern w:val="0"/>
          <w:sz w:val="24"/>
          <w:szCs w:val="21"/>
          <w:highlight w:val="none"/>
        </w:rPr>
      </w:pPr>
      <w:r>
        <w:rPr>
          <w:rFonts w:hint="eastAsia" w:ascii="宋体" w:hAnsi="宋体" w:cs="微软雅黑"/>
          <w:color w:val="auto"/>
          <w:kern w:val="0"/>
          <w:sz w:val="24"/>
          <w:szCs w:val="21"/>
          <w:highlight w:val="none"/>
        </w:rPr>
        <w:t>1.以银行转账形式缴纳的，</w:t>
      </w:r>
      <w:r>
        <w:rPr>
          <w:rFonts w:ascii="宋体" w:hAnsi="宋体" w:cs="微软雅黑"/>
          <w:color w:val="auto"/>
          <w:kern w:val="0"/>
          <w:sz w:val="24"/>
          <w:szCs w:val="21"/>
          <w:highlight w:val="none"/>
        </w:rPr>
        <w:t>投标人应在此提供银行回单的复制件。</w:t>
      </w:r>
    </w:p>
    <w:p>
      <w:pPr>
        <w:autoSpaceDE w:val="0"/>
        <w:autoSpaceDN w:val="0"/>
        <w:adjustRightInd w:val="0"/>
        <w:spacing w:line="360" w:lineRule="auto"/>
        <w:ind w:left="420" w:leftChars="200"/>
        <w:jc w:val="left"/>
        <w:rPr>
          <w:rFonts w:ascii="宋体" w:hAnsi="宋体" w:cs="微软雅黑"/>
          <w:color w:val="auto"/>
          <w:kern w:val="0"/>
          <w:sz w:val="24"/>
          <w:szCs w:val="21"/>
          <w:highlight w:val="none"/>
        </w:rPr>
      </w:pPr>
      <w:r>
        <w:rPr>
          <w:rFonts w:hint="eastAsia" w:ascii="宋体" w:hAnsi="宋体" w:cs="微软雅黑"/>
          <w:color w:val="auto"/>
          <w:kern w:val="0"/>
          <w:sz w:val="24"/>
          <w:szCs w:val="21"/>
          <w:highlight w:val="none"/>
        </w:rPr>
        <w:t>2.</w:t>
      </w:r>
      <w:r>
        <w:rPr>
          <w:rFonts w:ascii="宋体" w:hAnsi="宋体" w:cs="微软雅黑"/>
          <w:color w:val="auto"/>
          <w:kern w:val="0"/>
          <w:sz w:val="24"/>
          <w:szCs w:val="21"/>
          <w:highlight w:val="none"/>
        </w:rPr>
        <w:t>以</w:t>
      </w:r>
      <w:r>
        <w:rPr>
          <w:rFonts w:hint="eastAsia" w:ascii="宋体" w:hAnsi="宋体" w:cs="微软雅黑"/>
          <w:color w:val="auto"/>
          <w:kern w:val="0"/>
          <w:sz w:val="24"/>
          <w:szCs w:val="21"/>
          <w:highlight w:val="none"/>
        </w:rPr>
        <w:t>银行转账或金融机构保函形式</w:t>
      </w:r>
      <w:r>
        <w:rPr>
          <w:rFonts w:ascii="宋体" w:hAnsi="宋体" w:cs="微软雅黑"/>
          <w:color w:val="auto"/>
          <w:kern w:val="0"/>
          <w:sz w:val="24"/>
          <w:szCs w:val="21"/>
          <w:highlight w:val="none"/>
        </w:rPr>
        <w:t>缴纳</w:t>
      </w:r>
      <w:r>
        <w:rPr>
          <w:rFonts w:hint="eastAsia" w:ascii="宋体" w:hAnsi="宋体" w:cs="微软雅黑"/>
          <w:color w:val="auto"/>
          <w:kern w:val="0"/>
          <w:sz w:val="24"/>
          <w:szCs w:val="21"/>
          <w:highlight w:val="none"/>
        </w:rPr>
        <w:t>，</w:t>
      </w:r>
      <w:r>
        <w:rPr>
          <w:rFonts w:ascii="宋体" w:hAnsi="宋体" w:cs="微软雅黑"/>
          <w:color w:val="auto"/>
          <w:kern w:val="0"/>
          <w:sz w:val="24"/>
          <w:szCs w:val="21"/>
          <w:highlight w:val="none"/>
        </w:rPr>
        <w:t>投标人应在此提供</w:t>
      </w:r>
      <w:r>
        <w:rPr>
          <w:rFonts w:hint="eastAsia" w:ascii="宋体" w:hAnsi="宋体" w:cs="微软雅黑"/>
          <w:color w:val="auto"/>
          <w:kern w:val="0"/>
          <w:sz w:val="24"/>
          <w:szCs w:val="21"/>
          <w:highlight w:val="none"/>
        </w:rPr>
        <w:t>保函</w:t>
      </w:r>
      <w:r>
        <w:rPr>
          <w:rFonts w:ascii="宋体" w:hAnsi="宋体" w:cs="微软雅黑"/>
          <w:color w:val="auto"/>
          <w:kern w:val="0"/>
          <w:sz w:val="24"/>
          <w:szCs w:val="21"/>
          <w:highlight w:val="none"/>
        </w:rPr>
        <w:t>的复制件。</w:t>
      </w:r>
    </w:p>
    <w:p>
      <w:pPr>
        <w:autoSpaceDE w:val="0"/>
        <w:autoSpaceDN w:val="0"/>
        <w:adjustRightInd w:val="0"/>
        <w:spacing w:line="360" w:lineRule="auto"/>
        <w:ind w:left="420" w:leftChars="200"/>
        <w:jc w:val="left"/>
        <w:rPr>
          <w:rFonts w:ascii="宋体" w:hAnsi="宋体" w:cs="微软雅黑"/>
          <w:color w:val="auto"/>
          <w:kern w:val="0"/>
          <w:sz w:val="24"/>
          <w:szCs w:val="21"/>
          <w:highlight w:val="none"/>
        </w:rPr>
      </w:pPr>
      <w:r>
        <w:rPr>
          <w:rFonts w:hint="eastAsia" w:ascii="宋体" w:hAnsi="宋体" w:cs="微软雅黑"/>
          <w:color w:val="auto"/>
          <w:kern w:val="0"/>
          <w:sz w:val="24"/>
          <w:szCs w:val="21"/>
          <w:highlight w:val="none"/>
        </w:rPr>
        <w:t>3.</w:t>
      </w:r>
      <w:r>
        <w:rPr>
          <w:rFonts w:ascii="宋体" w:hAnsi="宋体" w:cs="微软雅黑"/>
          <w:color w:val="auto"/>
          <w:kern w:val="0"/>
          <w:sz w:val="24"/>
          <w:szCs w:val="21"/>
          <w:highlight w:val="none"/>
        </w:rPr>
        <w:t>招标人最迟将在与中标人签订合同后 5 日内，向未中标的投标人和中标人退还投标保证金。投标人</w:t>
      </w:r>
      <w:r>
        <w:rPr>
          <w:rFonts w:hint="eastAsia" w:ascii="宋体" w:hAnsi="宋体" w:cs="微软雅黑"/>
          <w:color w:val="auto"/>
          <w:kern w:val="0"/>
          <w:sz w:val="24"/>
          <w:szCs w:val="21"/>
          <w:highlight w:val="none"/>
        </w:rPr>
        <w:t>投标时提供以下</w:t>
      </w:r>
      <w:r>
        <w:rPr>
          <w:rFonts w:ascii="宋体" w:hAnsi="宋体" w:cs="微软雅黑"/>
          <w:color w:val="auto"/>
          <w:kern w:val="0"/>
          <w:sz w:val="24"/>
          <w:szCs w:val="21"/>
          <w:highlight w:val="none"/>
        </w:rPr>
        <w:t>退款账户详细信息</w:t>
      </w:r>
      <w:r>
        <w:rPr>
          <w:rFonts w:hint="eastAsia" w:ascii="宋体" w:hAnsi="宋体" w:cs="微软雅黑"/>
          <w:color w:val="auto"/>
          <w:kern w:val="0"/>
          <w:sz w:val="24"/>
          <w:szCs w:val="21"/>
          <w:highlight w:val="none"/>
        </w:rPr>
        <w:t>以便招标代理机构办理退款手续。</w:t>
      </w:r>
    </w:p>
    <w:tbl>
      <w:tblPr>
        <w:tblStyle w:val="16"/>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677"/>
        <w:gridCol w:w="1719"/>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退款单位名称</w:t>
            </w:r>
          </w:p>
        </w:tc>
        <w:tc>
          <w:tcPr>
            <w:tcW w:w="7496" w:type="dxa"/>
            <w:gridSpan w:val="3"/>
            <w:vAlign w:val="center"/>
          </w:tcPr>
          <w:p>
            <w:pPr>
              <w:widowControl/>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退款账号</w:t>
            </w:r>
          </w:p>
        </w:tc>
        <w:tc>
          <w:tcPr>
            <w:tcW w:w="7496" w:type="dxa"/>
            <w:gridSpan w:val="3"/>
            <w:vAlign w:val="center"/>
          </w:tcPr>
          <w:p>
            <w:pPr>
              <w:widowControl/>
              <w:snapToGrid w:val="0"/>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开户银行</w:t>
            </w:r>
          </w:p>
        </w:tc>
        <w:tc>
          <w:tcPr>
            <w:tcW w:w="7496" w:type="dxa"/>
            <w:gridSpan w:val="3"/>
            <w:vAlign w:val="center"/>
          </w:tcPr>
          <w:p>
            <w:pPr>
              <w:widowControl/>
              <w:snapToGrid w:val="0"/>
              <w:jc w:val="center"/>
              <w:rPr>
                <w:rFonts w:ascii="宋体" w:hAnsi="宋体" w:cs="宋体"/>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联系人</w:t>
            </w:r>
          </w:p>
        </w:tc>
        <w:tc>
          <w:tcPr>
            <w:tcW w:w="2677" w:type="dxa"/>
            <w:vAlign w:val="center"/>
          </w:tcPr>
          <w:p>
            <w:pPr>
              <w:widowControl/>
              <w:snapToGrid w:val="0"/>
              <w:jc w:val="center"/>
              <w:rPr>
                <w:rFonts w:ascii="宋体" w:hAnsi="宋体" w:cs="宋体"/>
                <w:color w:val="auto"/>
                <w:kern w:val="0"/>
                <w:sz w:val="24"/>
                <w:highlight w:val="none"/>
              </w:rPr>
            </w:pPr>
          </w:p>
        </w:tc>
        <w:tc>
          <w:tcPr>
            <w:tcW w:w="1719" w:type="dxa"/>
            <w:vAlign w:val="center"/>
          </w:tcPr>
          <w:p>
            <w:pPr>
              <w:widowControl/>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联系电话</w:t>
            </w:r>
          </w:p>
        </w:tc>
        <w:tc>
          <w:tcPr>
            <w:tcW w:w="3100" w:type="dxa"/>
            <w:vAlign w:val="center"/>
          </w:tcPr>
          <w:p>
            <w:pPr>
              <w:widowControl/>
              <w:snapToGrid w:val="0"/>
              <w:jc w:val="center"/>
              <w:rPr>
                <w:rFonts w:ascii="宋体" w:hAnsi="宋体" w:cs="宋体"/>
                <w:color w:val="auto"/>
                <w:kern w:val="0"/>
                <w:sz w:val="24"/>
                <w:highlight w:val="none"/>
              </w:rPr>
            </w:pPr>
          </w:p>
        </w:tc>
      </w:tr>
    </w:tbl>
    <w:p>
      <w:pPr>
        <w:keepNext/>
        <w:keepLines/>
        <w:spacing w:line="400" w:lineRule="exact"/>
        <w:ind w:firstLine="321"/>
        <w:jc w:val="left"/>
        <w:outlineLvl w:val="1"/>
        <w:rPr>
          <w:rFonts w:ascii="Cambria" w:hAnsi="宋体" w:cs="宋体"/>
          <w:b/>
          <w:bCs/>
          <w:color w:val="auto"/>
          <w:sz w:val="32"/>
          <w:szCs w:val="32"/>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cs="微软雅黑"/>
          <w:b/>
          <w:color w:val="auto"/>
          <w:kern w:val="0"/>
          <w:sz w:val="36"/>
          <w:szCs w:val="36"/>
          <w:highlight w:val="none"/>
        </w:rPr>
      </w:pPr>
      <w:r>
        <w:rPr>
          <w:rFonts w:hint="eastAsia" w:cs="微软雅黑"/>
          <w:b/>
          <w:color w:val="auto"/>
          <w:kern w:val="0"/>
          <w:sz w:val="36"/>
          <w:szCs w:val="36"/>
          <w:highlight w:val="none"/>
        </w:rPr>
        <w:br w:type="page"/>
      </w:r>
    </w:p>
    <w:p>
      <w:pPr>
        <w:autoSpaceDE w:val="0"/>
        <w:autoSpaceDN w:val="0"/>
        <w:adjustRightInd w:val="0"/>
        <w:spacing w:line="360" w:lineRule="auto"/>
        <w:jc w:val="center"/>
        <w:rPr>
          <w:rFonts w:cs="微软雅黑"/>
          <w:b/>
          <w:color w:val="auto"/>
          <w:kern w:val="0"/>
          <w:sz w:val="36"/>
          <w:szCs w:val="36"/>
          <w:highlight w:val="none"/>
        </w:rPr>
      </w:pPr>
      <w:r>
        <w:rPr>
          <w:rFonts w:hint="eastAsia" w:cs="微软雅黑"/>
          <w:b/>
          <w:color w:val="auto"/>
          <w:kern w:val="0"/>
          <w:sz w:val="36"/>
          <w:szCs w:val="36"/>
          <w:highlight w:val="none"/>
        </w:rPr>
        <w:t>六、“信用中国、中国裁判文书网”投标企业信用报告概述页打印件（含网页标识或网址）；</w:t>
      </w: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spacing w:after="120"/>
        <w:ind w:firstLine="210" w:firstLineChars="100"/>
        <w:rPr>
          <w:rFonts w:hAnsi="宋体" w:cs="宋体"/>
          <w:color w:val="auto"/>
          <w:highlight w:val="none"/>
        </w:rPr>
      </w:pPr>
    </w:p>
    <w:p>
      <w:pPr>
        <w:rPr>
          <w:rFonts w:hAnsi="宋体" w:cs="宋体"/>
          <w:color w:val="auto"/>
          <w:highlight w:val="none"/>
        </w:rPr>
      </w:pPr>
    </w:p>
    <w:p>
      <w:pPr>
        <w:rPr>
          <w:rFonts w:ascii="Cambria" w:hAnsi="宋体" w:cs="宋体"/>
          <w:b/>
          <w:bCs/>
          <w:color w:val="auto"/>
          <w:sz w:val="36"/>
          <w:szCs w:val="36"/>
          <w:highlight w:val="none"/>
        </w:rPr>
      </w:pPr>
      <w:r>
        <w:rPr>
          <w:rFonts w:hint="eastAsia" w:ascii="Cambria" w:hAnsi="宋体" w:cs="宋体"/>
          <w:b/>
          <w:bCs/>
          <w:color w:val="auto"/>
          <w:sz w:val="36"/>
          <w:szCs w:val="36"/>
          <w:highlight w:val="none"/>
        </w:rPr>
        <w:br w:type="page"/>
      </w:r>
    </w:p>
    <w:p>
      <w:pPr>
        <w:keepNext/>
        <w:keepLines/>
        <w:spacing w:line="400" w:lineRule="exact"/>
        <w:jc w:val="center"/>
        <w:outlineLvl w:val="1"/>
        <w:rPr>
          <w:rFonts w:ascii="Cambria" w:hAnsi="Cambria"/>
          <w:b/>
          <w:bCs/>
          <w:color w:val="auto"/>
          <w:sz w:val="36"/>
          <w:szCs w:val="36"/>
          <w:highlight w:val="none"/>
        </w:rPr>
      </w:pPr>
      <w:r>
        <w:rPr>
          <w:rFonts w:hint="eastAsia" w:ascii="Cambria" w:hAnsi="宋体" w:cs="宋体"/>
          <w:b/>
          <w:bCs/>
          <w:color w:val="auto"/>
          <w:sz w:val="36"/>
          <w:szCs w:val="36"/>
          <w:highlight w:val="none"/>
        </w:rPr>
        <w:t>七、</w:t>
      </w:r>
      <w:r>
        <w:rPr>
          <w:rFonts w:hint="eastAsia" w:ascii="Cambria" w:hAnsi="Cambria"/>
          <w:b/>
          <w:bCs/>
          <w:color w:val="auto"/>
          <w:sz w:val="36"/>
          <w:szCs w:val="36"/>
          <w:highlight w:val="none"/>
        </w:rPr>
        <w:t>商务和技术</w:t>
      </w:r>
      <w:r>
        <w:rPr>
          <w:rFonts w:ascii="Cambria" w:hAnsi="Cambria"/>
          <w:b/>
          <w:bCs/>
          <w:color w:val="auto"/>
          <w:sz w:val="36"/>
          <w:szCs w:val="36"/>
          <w:highlight w:val="none"/>
        </w:rPr>
        <w:t>偏离表</w:t>
      </w:r>
    </w:p>
    <w:p>
      <w:pPr>
        <w:spacing w:line="400" w:lineRule="exact"/>
        <w:jc w:val="left"/>
        <w:rPr>
          <w:rFonts w:hAnsi="宋体"/>
          <w:color w:val="auto"/>
          <w:szCs w:val="21"/>
          <w:highlight w:val="none"/>
        </w:rPr>
      </w:pPr>
    </w:p>
    <w:p>
      <w:pPr>
        <w:spacing w:line="400" w:lineRule="exact"/>
        <w:jc w:val="left"/>
        <w:rPr>
          <w:color w:val="auto"/>
          <w:szCs w:val="21"/>
          <w:highlight w:val="none"/>
          <w:u w:val="single"/>
        </w:rPr>
      </w:pPr>
      <w:r>
        <w:rPr>
          <w:rFonts w:hAnsi="宋体"/>
          <w:color w:val="auto"/>
          <w:szCs w:val="21"/>
          <w:highlight w:val="none"/>
        </w:rPr>
        <w:t>项目名称：</w:t>
      </w:r>
      <w:r>
        <w:rPr>
          <w:rFonts w:hint="eastAsia" w:hAnsi="宋体"/>
          <w:color w:val="auto"/>
          <w:szCs w:val="21"/>
          <w:highlight w:val="none"/>
          <w:u w:val="single"/>
        </w:rPr>
        <w:t xml:space="preserve">                            </w:t>
      </w:r>
      <w:r>
        <w:rPr>
          <w:color w:val="auto"/>
          <w:szCs w:val="21"/>
          <w:highlight w:val="none"/>
          <w:u w:val="single"/>
        </w:rPr>
        <w:t xml:space="preserve"> </w:t>
      </w:r>
    </w:p>
    <w:p>
      <w:pPr>
        <w:spacing w:line="400" w:lineRule="exact"/>
        <w:jc w:val="left"/>
        <w:rPr>
          <w:rFonts w:hAnsi="宋体" w:cs="宋体"/>
          <w:color w:val="auto"/>
          <w:highlight w:val="none"/>
        </w:rPr>
      </w:pPr>
      <w:r>
        <w:rPr>
          <w:rFonts w:hAnsi="宋体"/>
          <w:color w:val="auto"/>
          <w:szCs w:val="21"/>
          <w:highlight w:val="none"/>
        </w:rPr>
        <w:t>项目编号：</w:t>
      </w:r>
      <w:r>
        <w:rPr>
          <w:rFonts w:hint="eastAsia" w:hAnsi="宋体"/>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p>
    <w:tbl>
      <w:tblPr>
        <w:tblStyle w:val="16"/>
        <w:tblW w:w="8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806"/>
        <w:gridCol w:w="1770"/>
        <w:gridCol w:w="219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1" w:type="dxa"/>
            <w:vAlign w:val="center"/>
          </w:tcPr>
          <w:p>
            <w:pPr>
              <w:spacing w:line="400" w:lineRule="exact"/>
              <w:jc w:val="center"/>
              <w:rPr>
                <w:b/>
                <w:bCs/>
                <w:color w:val="auto"/>
                <w:szCs w:val="21"/>
                <w:highlight w:val="none"/>
              </w:rPr>
            </w:pPr>
            <w:r>
              <w:rPr>
                <w:rFonts w:hint="eastAsia" w:hAnsi="宋体"/>
                <w:b/>
                <w:bCs/>
                <w:color w:val="auto"/>
                <w:szCs w:val="21"/>
                <w:highlight w:val="none"/>
              </w:rPr>
              <w:t xml:space="preserve">序 </w:t>
            </w:r>
            <w:r>
              <w:rPr>
                <w:rFonts w:hint="eastAsia"/>
                <w:b/>
                <w:bCs/>
                <w:color w:val="auto"/>
                <w:szCs w:val="21"/>
                <w:highlight w:val="none"/>
              </w:rPr>
              <w:t xml:space="preserve">号                   </w:t>
            </w:r>
          </w:p>
        </w:tc>
        <w:tc>
          <w:tcPr>
            <w:tcW w:w="1806" w:type="dxa"/>
            <w:vAlign w:val="center"/>
          </w:tcPr>
          <w:p>
            <w:pPr>
              <w:spacing w:line="400" w:lineRule="exact"/>
              <w:jc w:val="center"/>
              <w:rPr>
                <w:b/>
                <w:bCs/>
                <w:color w:val="auto"/>
                <w:szCs w:val="21"/>
                <w:highlight w:val="none"/>
              </w:rPr>
            </w:pPr>
            <w:r>
              <w:rPr>
                <w:rFonts w:hAnsi="宋体"/>
                <w:b/>
                <w:bCs/>
                <w:color w:val="auto"/>
                <w:szCs w:val="21"/>
                <w:highlight w:val="none"/>
              </w:rPr>
              <w:t>招标文件条目</w:t>
            </w:r>
          </w:p>
        </w:tc>
        <w:tc>
          <w:tcPr>
            <w:tcW w:w="1770" w:type="dxa"/>
            <w:vAlign w:val="center"/>
          </w:tcPr>
          <w:p>
            <w:pPr>
              <w:spacing w:line="400" w:lineRule="exact"/>
              <w:jc w:val="center"/>
              <w:rPr>
                <w:b/>
                <w:bCs/>
                <w:color w:val="auto"/>
                <w:szCs w:val="21"/>
                <w:highlight w:val="none"/>
              </w:rPr>
            </w:pPr>
            <w:r>
              <w:rPr>
                <w:rFonts w:hAnsi="宋体"/>
                <w:b/>
                <w:bCs/>
                <w:color w:val="auto"/>
                <w:szCs w:val="21"/>
                <w:highlight w:val="none"/>
              </w:rPr>
              <w:t>招标文件要求</w:t>
            </w:r>
          </w:p>
        </w:tc>
        <w:tc>
          <w:tcPr>
            <w:tcW w:w="2190" w:type="dxa"/>
            <w:vAlign w:val="center"/>
          </w:tcPr>
          <w:p>
            <w:pPr>
              <w:spacing w:line="400" w:lineRule="exact"/>
              <w:jc w:val="center"/>
              <w:rPr>
                <w:b/>
                <w:bCs/>
                <w:color w:val="auto"/>
                <w:szCs w:val="21"/>
                <w:highlight w:val="none"/>
              </w:rPr>
            </w:pPr>
            <w:r>
              <w:rPr>
                <w:rFonts w:hAnsi="宋体"/>
                <w:b/>
                <w:bCs/>
                <w:color w:val="auto"/>
                <w:szCs w:val="21"/>
                <w:highlight w:val="none"/>
              </w:rPr>
              <w:t>投标文件响应</w:t>
            </w:r>
            <w:r>
              <w:rPr>
                <w:rFonts w:hint="eastAsia" w:hAnsi="宋体"/>
                <w:b/>
                <w:bCs/>
                <w:color w:val="auto"/>
                <w:szCs w:val="21"/>
                <w:highlight w:val="none"/>
              </w:rPr>
              <w:t>情况</w:t>
            </w:r>
          </w:p>
        </w:tc>
        <w:tc>
          <w:tcPr>
            <w:tcW w:w="1530" w:type="dxa"/>
            <w:vAlign w:val="center"/>
          </w:tcPr>
          <w:p>
            <w:pPr>
              <w:spacing w:line="400" w:lineRule="exact"/>
              <w:jc w:val="center"/>
              <w:rPr>
                <w:b/>
                <w:bCs/>
                <w:color w:val="auto"/>
                <w:szCs w:val="21"/>
                <w:highlight w:val="none"/>
              </w:rPr>
            </w:pPr>
            <w:r>
              <w:rPr>
                <w:rFonts w:hint="eastAsia" w:hAnsi="宋体"/>
                <w:b/>
                <w:bCs/>
                <w:color w:val="auto"/>
                <w:szCs w:val="21"/>
                <w:highlight w:val="none"/>
              </w:rPr>
              <w:t>偏差</w:t>
            </w:r>
            <w:r>
              <w:rPr>
                <w:rFonts w:hAnsi="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ind w:firstLine="210" w:firstLineChars="100"/>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1" w:type="dxa"/>
            <w:vAlign w:val="center"/>
          </w:tcPr>
          <w:p>
            <w:pPr>
              <w:spacing w:line="400" w:lineRule="exact"/>
              <w:jc w:val="left"/>
              <w:rPr>
                <w:color w:val="auto"/>
                <w:szCs w:val="21"/>
                <w:highlight w:val="none"/>
              </w:rPr>
            </w:pPr>
          </w:p>
        </w:tc>
        <w:tc>
          <w:tcPr>
            <w:tcW w:w="1806" w:type="dxa"/>
            <w:vAlign w:val="center"/>
          </w:tcPr>
          <w:p>
            <w:pPr>
              <w:spacing w:line="400" w:lineRule="exact"/>
              <w:jc w:val="left"/>
              <w:rPr>
                <w:color w:val="auto"/>
                <w:szCs w:val="21"/>
                <w:highlight w:val="none"/>
              </w:rPr>
            </w:pPr>
          </w:p>
        </w:tc>
        <w:tc>
          <w:tcPr>
            <w:tcW w:w="1770" w:type="dxa"/>
            <w:vAlign w:val="center"/>
          </w:tcPr>
          <w:p>
            <w:pPr>
              <w:spacing w:line="400" w:lineRule="exact"/>
              <w:jc w:val="left"/>
              <w:rPr>
                <w:color w:val="auto"/>
                <w:szCs w:val="21"/>
                <w:highlight w:val="none"/>
              </w:rPr>
            </w:pPr>
          </w:p>
        </w:tc>
        <w:tc>
          <w:tcPr>
            <w:tcW w:w="2190" w:type="dxa"/>
            <w:vAlign w:val="center"/>
          </w:tcPr>
          <w:p>
            <w:pPr>
              <w:spacing w:line="400" w:lineRule="exact"/>
              <w:jc w:val="left"/>
              <w:rPr>
                <w:color w:val="auto"/>
                <w:szCs w:val="21"/>
                <w:highlight w:val="none"/>
              </w:rPr>
            </w:pPr>
          </w:p>
        </w:tc>
        <w:tc>
          <w:tcPr>
            <w:tcW w:w="1530" w:type="dxa"/>
            <w:vAlign w:val="center"/>
          </w:tcPr>
          <w:p>
            <w:pPr>
              <w:spacing w:line="400" w:lineRule="exact"/>
              <w:jc w:val="left"/>
              <w:rPr>
                <w:color w:val="auto"/>
                <w:szCs w:val="21"/>
                <w:highlight w:val="none"/>
              </w:rPr>
            </w:pPr>
          </w:p>
        </w:tc>
      </w:tr>
    </w:tbl>
    <w:p>
      <w:pPr>
        <w:spacing w:line="400" w:lineRule="exact"/>
        <w:jc w:val="left"/>
        <w:rPr>
          <w:b/>
          <w:bCs/>
          <w:color w:val="auto"/>
          <w:szCs w:val="21"/>
          <w:highlight w:val="none"/>
        </w:rPr>
      </w:pPr>
      <w:r>
        <w:rPr>
          <w:rFonts w:hAnsi="宋体"/>
          <w:b/>
          <w:bCs/>
          <w:color w:val="auto"/>
          <w:szCs w:val="21"/>
          <w:highlight w:val="none"/>
        </w:rPr>
        <w:t>注：</w:t>
      </w:r>
      <w:r>
        <w:rPr>
          <w:b/>
          <w:bCs/>
          <w:color w:val="auto"/>
          <w:szCs w:val="21"/>
          <w:highlight w:val="none"/>
        </w:rPr>
        <w:t>1</w:t>
      </w:r>
      <w:r>
        <w:rPr>
          <w:rFonts w:hAnsi="宋体"/>
          <w:b/>
          <w:bCs/>
          <w:color w:val="auto"/>
          <w:szCs w:val="21"/>
          <w:highlight w:val="none"/>
        </w:rPr>
        <w:t>、本表可扩展使用。</w:t>
      </w:r>
    </w:p>
    <w:p>
      <w:pPr>
        <w:spacing w:line="400" w:lineRule="exact"/>
        <w:jc w:val="left"/>
        <w:rPr>
          <w:b/>
          <w:bCs/>
          <w:color w:val="auto"/>
          <w:szCs w:val="21"/>
          <w:highlight w:val="none"/>
        </w:rPr>
      </w:pPr>
      <w:r>
        <w:rPr>
          <w:b/>
          <w:bCs/>
          <w:color w:val="auto"/>
          <w:szCs w:val="21"/>
          <w:highlight w:val="none"/>
        </w:rPr>
        <w:t xml:space="preserve">    2</w:t>
      </w:r>
      <w:r>
        <w:rPr>
          <w:rFonts w:hAnsi="宋体"/>
          <w:b/>
          <w:bCs/>
          <w:color w:val="auto"/>
          <w:szCs w:val="21"/>
          <w:highlight w:val="none"/>
        </w:rPr>
        <w:t>、不填写此表视为完全响应招标文件内容。</w:t>
      </w:r>
    </w:p>
    <w:p>
      <w:pPr>
        <w:spacing w:line="400" w:lineRule="exact"/>
        <w:ind w:firstLine="211"/>
        <w:jc w:val="center"/>
        <w:rPr>
          <w:rFonts w:hAnsi="宋体"/>
          <w:b/>
          <w:color w:val="auto"/>
          <w:highlight w:val="none"/>
        </w:rPr>
      </w:pPr>
    </w:p>
    <w:p>
      <w:pPr>
        <w:adjustRightInd w:val="0"/>
        <w:snapToGrid w:val="0"/>
        <w:spacing w:line="400" w:lineRule="exact"/>
        <w:ind w:firstLine="211"/>
        <w:rPr>
          <w:rFonts w:ascii="宋体" w:hAnsi="宋体"/>
          <w:b/>
          <w:color w:val="auto"/>
          <w:kern w:val="0"/>
          <w:sz w:val="20"/>
          <w:szCs w:val="20"/>
          <w:highlight w:val="none"/>
        </w:rPr>
      </w:pPr>
    </w:p>
    <w:p>
      <w:pPr>
        <w:spacing w:line="400" w:lineRule="exact"/>
        <w:ind w:firstLine="240"/>
        <w:jc w:val="left"/>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日    期：</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p>
    <w:p>
      <w:pPr>
        <w:adjustRightInd w:val="0"/>
        <w:snapToGrid w:val="0"/>
        <w:spacing w:line="400" w:lineRule="exact"/>
        <w:ind w:firstLine="211"/>
        <w:rPr>
          <w:rFonts w:ascii="宋体" w:hAnsi="宋体"/>
          <w:b/>
          <w:color w:val="auto"/>
          <w:kern w:val="0"/>
          <w:sz w:val="20"/>
          <w:szCs w:val="20"/>
          <w:highlight w:val="none"/>
        </w:rPr>
      </w:pPr>
    </w:p>
    <w:p>
      <w:pPr>
        <w:adjustRightInd w:val="0"/>
        <w:snapToGrid w:val="0"/>
        <w:spacing w:line="400" w:lineRule="exact"/>
        <w:ind w:firstLine="211"/>
        <w:rPr>
          <w:rFonts w:ascii="宋体" w:hAnsi="宋体"/>
          <w:b/>
          <w:color w:val="auto"/>
          <w:kern w:val="0"/>
          <w:sz w:val="20"/>
          <w:szCs w:val="20"/>
          <w:highlight w:val="none"/>
        </w:rPr>
      </w:pPr>
    </w:p>
    <w:p>
      <w:pPr>
        <w:adjustRightInd w:val="0"/>
        <w:snapToGrid w:val="0"/>
        <w:spacing w:line="400" w:lineRule="exact"/>
        <w:ind w:firstLine="211"/>
        <w:rPr>
          <w:rFonts w:ascii="宋体" w:hAnsi="宋体"/>
          <w:b/>
          <w:color w:val="auto"/>
          <w:kern w:val="0"/>
          <w:sz w:val="20"/>
          <w:szCs w:val="20"/>
          <w:highlight w:val="none"/>
        </w:rPr>
      </w:pPr>
    </w:p>
    <w:p>
      <w:pPr>
        <w:widowControl/>
        <w:spacing w:line="400" w:lineRule="exact"/>
        <w:jc w:val="left"/>
        <w:rPr>
          <w:rFonts w:eastAsia="黑体" w:cs="Calibri"/>
          <w:color w:val="auto"/>
          <w:sz w:val="32"/>
          <w:szCs w:val="32"/>
          <w:highlight w:val="none"/>
        </w:rPr>
      </w:pPr>
    </w:p>
    <w:p>
      <w:pPr>
        <w:keepNext/>
        <w:keepLines/>
        <w:spacing w:line="400" w:lineRule="exact"/>
        <w:jc w:val="center"/>
        <w:outlineLvl w:val="1"/>
        <w:rPr>
          <w:rFonts w:ascii="Cambria" w:hAnsi="Cambria"/>
          <w:b/>
          <w:bCs/>
          <w:color w:val="auto"/>
          <w:sz w:val="36"/>
          <w:szCs w:val="36"/>
          <w:highlight w:val="none"/>
        </w:rPr>
      </w:pPr>
      <w:r>
        <w:rPr>
          <w:rFonts w:hint="eastAsia" w:ascii="Cambria" w:hAnsi="Cambria"/>
          <w:b/>
          <w:bCs/>
          <w:color w:val="auto"/>
          <w:sz w:val="36"/>
          <w:szCs w:val="36"/>
          <w:highlight w:val="none"/>
        </w:rPr>
        <w:t>八、打分资料一览表</w:t>
      </w:r>
    </w:p>
    <w:p>
      <w:pPr>
        <w:adjustRightInd w:val="0"/>
        <w:snapToGrid w:val="0"/>
        <w:spacing w:line="400" w:lineRule="exact"/>
        <w:ind w:firstLine="241"/>
        <w:jc w:val="center"/>
        <w:rPr>
          <w:b/>
          <w:color w:val="auto"/>
          <w:sz w:val="24"/>
          <w:highlight w:val="none"/>
        </w:rPr>
      </w:pPr>
    </w:p>
    <w:tbl>
      <w:tblPr>
        <w:tblStyle w:val="16"/>
        <w:tblpPr w:leftFromText="180" w:rightFromText="180" w:vertAnchor="text" w:horzAnchor="page" w:tblpX="1383" w:tblpY="676"/>
        <w:tblOverlap w:val="never"/>
        <w:tblW w:w="9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4678"/>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b/>
                <w:color w:val="auto"/>
                <w:sz w:val="24"/>
                <w:highlight w:val="none"/>
              </w:rPr>
            </w:pPr>
            <w:r>
              <w:rPr>
                <w:rFonts w:hAnsi="宋体"/>
                <w:b/>
                <w:color w:val="auto"/>
                <w:sz w:val="24"/>
                <w:highlight w:val="none"/>
              </w:rPr>
              <w:t>序号</w:t>
            </w:r>
          </w:p>
        </w:tc>
        <w:tc>
          <w:tcPr>
            <w:tcW w:w="4678" w:type="dxa"/>
            <w:vAlign w:val="center"/>
          </w:tcPr>
          <w:p>
            <w:pPr>
              <w:adjustRightInd w:val="0"/>
              <w:snapToGrid w:val="0"/>
              <w:spacing w:line="400" w:lineRule="exact"/>
              <w:jc w:val="center"/>
              <w:rPr>
                <w:b/>
                <w:color w:val="auto"/>
                <w:sz w:val="24"/>
                <w:highlight w:val="none"/>
              </w:rPr>
            </w:pPr>
            <w:r>
              <w:rPr>
                <w:rFonts w:hAnsi="宋体"/>
                <w:b/>
                <w:color w:val="auto"/>
                <w:sz w:val="24"/>
                <w:highlight w:val="none"/>
              </w:rPr>
              <w:t>资料名称</w:t>
            </w:r>
          </w:p>
        </w:tc>
        <w:tc>
          <w:tcPr>
            <w:tcW w:w="1701" w:type="dxa"/>
            <w:vAlign w:val="center"/>
          </w:tcPr>
          <w:p>
            <w:pPr>
              <w:adjustRightInd w:val="0"/>
              <w:snapToGrid w:val="0"/>
              <w:spacing w:line="400" w:lineRule="exact"/>
              <w:jc w:val="center"/>
              <w:rPr>
                <w:b/>
                <w:color w:val="auto"/>
                <w:sz w:val="24"/>
                <w:highlight w:val="none"/>
              </w:rPr>
            </w:pPr>
            <w:r>
              <w:rPr>
                <w:rFonts w:hint="eastAsia" w:hAnsi="宋体"/>
                <w:b/>
                <w:color w:val="auto"/>
                <w:sz w:val="24"/>
                <w:highlight w:val="none"/>
              </w:rPr>
              <w:t xml:space="preserve">页 </w:t>
            </w:r>
            <w:r>
              <w:rPr>
                <w:rFonts w:hint="eastAsia"/>
                <w:b/>
                <w:color w:val="auto"/>
                <w:sz w:val="24"/>
                <w:highlight w:val="none"/>
              </w:rPr>
              <w:t xml:space="preserve">码  </w:t>
            </w:r>
            <w:r>
              <w:rPr>
                <w:rFonts w:hint="eastAsia" w:hAnsi="宋体"/>
                <w:b/>
                <w:color w:val="auto"/>
                <w:sz w:val="24"/>
                <w:highlight w:val="none"/>
              </w:rPr>
              <w:t xml:space="preserve"> </w:t>
            </w:r>
          </w:p>
        </w:tc>
        <w:tc>
          <w:tcPr>
            <w:tcW w:w="1701" w:type="dxa"/>
            <w:vAlign w:val="center"/>
          </w:tcPr>
          <w:p>
            <w:pPr>
              <w:adjustRightInd w:val="0"/>
              <w:snapToGrid w:val="0"/>
              <w:spacing w:line="400" w:lineRule="exact"/>
              <w:jc w:val="center"/>
              <w:rPr>
                <w:b/>
                <w:color w:val="auto"/>
                <w:sz w:val="24"/>
                <w:highlight w:val="none"/>
              </w:rPr>
            </w:pPr>
            <w:r>
              <w:rPr>
                <w:rFonts w:hAnsi="宋体"/>
                <w:b/>
                <w:color w:val="auto"/>
                <w:sz w:val="24"/>
                <w:highlight w:val="none"/>
              </w:rPr>
              <w:t>备</w:t>
            </w:r>
            <w:r>
              <w:rPr>
                <w:b/>
                <w:color w:val="auto"/>
                <w:sz w:val="24"/>
                <w:highlight w:val="none"/>
              </w:rPr>
              <w:t xml:space="preserve">  </w:t>
            </w:r>
            <w:r>
              <w:rPr>
                <w:rFonts w:hAnsi="宋体"/>
                <w:b/>
                <w:color w:val="auto"/>
                <w:sz w:val="24"/>
                <w:highlight w:val="none"/>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35" w:type="dxa"/>
            <w:vAlign w:val="center"/>
          </w:tcPr>
          <w:p>
            <w:pPr>
              <w:adjustRightInd w:val="0"/>
              <w:snapToGrid w:val="0"/>
              <w:spacing w:line="400" w:lineRule="exact"/>
              <w:jc w:val="center"/>
              <w:rPr>
                <w:color w:val="auto"/>
                <w:sz w:val="24"/>
                <w:highlight w:val="none"/>
              </w:rPr>
            </w:pPr>
          </w:p>
        </w:tc>
        <w:tc>
          <w:tcPr>
            <w:tcW w:w="4678"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c>
          <w:tcPr>
            <w:tcW w:w="1701" w:type="dxa"/>
            <w:vAlign w:val="center"/>
          </w:tcPr>
          <w:p>
            <w:pPr>
              <w:adjustRightInd w:val="0"/>
              <w:snapToGrid w:val="0"/>
              <w:spacing w:line="400" w:lineRule="exact"/>
              <w:jc w:val="center"/>
              <w:rPr>
                <w:color w:val="auto"/>
                <w:sz w:val="24"/>
                <w:highlight w:val="none"/>
              </w:rPr>
            </w:pPr>
          </w:p>
        </w:tc>
      </w:tr>
    </w:tbl>
    <w:p>
      <w:pPr>
        <w:adjustRightInd w:val="0"/>
        <w:snapToGrid w:val="0"/>
        <w:spacing w:line="400" w:lineRule="exact"/>
        <w:ind w:firstLine="241"/>
        <w:jc w:val="center"/>
        <w:rPr>
          <w:b/>
          <w:color w:val="auto"/>
          <w:sz w:val="32"/>
          <w:szCs w:val="32"/>
          <w:highlight w:val="none"/>
        </w:rPr>
      </w:pPr>
      <w:r>
        <w:rPr>
          <w:b/>
          <w:color w:val="auto"/>
          <w:sz w:val="32"/>
          <w:szCs w:val="32"/>
          <w:highlight w:val="none"/>
        </w:rPr>
        <w:t>投标人提供的评审打分资料一览表</w:t>
      </w:r>
    </w:p>
    <w:p>
      <w:pPr>
        <w:adjustRightInd w:val="0"/>
        <w:snapToGrid w:val="0"/>
        <w:spacing w:line="400" w:lineRule="exact"/>
        <w:jc w:val="left"/>
        <w:rPr>
          <w:rFonts w:ascii="宋体" w:hAnsi="宋体"/>
          <w:color w:val="auto"/>
          <w:sz w:val="24"/>
          <w:highlight w:val="none"/>
        </w:rPr>
      </w:pPr>
      <w:r>
        <w:rPr>
          <w:rFonts w:ascii="宋体" w:hAnsi="宋体"/>
          <w:color w:val="auto"/>
          <w:sz w:val="24"/>
          <w:highlight w:val="none"/>
        </w:rPr>
        <w:t>注：本表请按</w:t>
      </w:r>
      <w:r>
        <w:rPr>
          <w:rFonts w:hint="eastAsia" w:ascii="宋体" w:hAnsi="宋体"/>
          <w:color w:val="auto"/>
          <w:sz w:val="24"/>
          <w:highlight w:val="none"/>
        </w:rPr>
        <w:t>“第六章评标</w:t>
      </w:r>
      <w:r>
        <w:rPr>
          <w:rFonts w:ascii="宋体" w:hAnsi="宋体"/>
          <w:color w:val="auto"/>
          <w:sz w:val="24"/>
          <w:highlight w:val="none"/>
        </w:rPr>
        <w:t>办法”</w:t>
      </w:r>
      <w:r>
        <w:rPr>
          <w:rFonts w:hint="eastAsia" w:ascii="宋体" w:hAnsi="宋体"/>
          <w:color w:val="auto"/>
          <w:sz w:val="24"/>
          <w:highlight w:val="none"/>
        </w:rPr>
        <w:t>中“评定项目”的</w:t>
      </w:r>
      <w:r>
        <w:rPr>
          <w:rFonts w:ascii="宋体" w:hAnsi="宋体"/>
          <w:color w:val="auto"/>
          <w:sz w:val="24"/>
          <w:highlight w:val="none"/>
        </w:rPr>
        <w:t>要求进行填写。</w:t>
      </w:r>
    </w:p>
    <w:p>
      <w:pPr>
        <w:adjustRightInd w:val="0"/>
        <w:snapToGrid w:val="0"/>
        <w:spacing w:line="400" w:lineRule="exact"/>
        <w:ind w:firstLine="280"/>
        <w:rPr>
          <w:color w:val="auto"/>
          <w:sz w:val="28"/>
          <w:szCs w:val="28"/>
          <w:highlight w:val="none"/>
        </w:rPr>
      </w:pPr>
    </w:p>
    <w:p>
      <w:pPr>
        <w:spacing w:after="120"/>
        <w:ind w:firstLine="280" w:firstLineChars="100"/>
        <w:rPr>
          <w:color w:val="auto"/>
          <w:sz w:val="28"/>
          <w:szCs w:val="28"/>
          <w:highlight w:val="none"/>
        </w:rPr>
      </w:pPr>
    </w:p>
    <w:p>
      <w:pPr>
        <w:rPr>
          <w:color w:val="auto"/>
          <w:highlight w:val="none"/>
        </w:rPr>
      </w:pPr>
    </w:p>
    <w:p>
      <w:pPr>
        <w:spacing w:line="400" w:lineRule="exact"/>
        <w:ind w:firstLine="240"/>
        <w:jc w:val="left"/>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r>
        <w:rPr>
          <w:rFonts w:hint="eastAsia" w:ascii="宋体" w:hAnsi="宋体" w:cs="宋体"/>
          <w:color w:val="auto"/>
          <w:sz w:val="24"/>
          <w:highlight w:val="none"/>
          <w:u w:val="single"/>
        </w:rPr>
        <w:t xml:space="preserve">             </w:t>
      </w:r>
    </w:p>
    <w:p>
      <w:pPr>
        <w:spacing w:line="400" w:lineRule="exact"/>
        <w:ind w:firstLine="240" w:firstLineChars="100"/>
        <w:jc w:val="left"/>
        <w:rPr>
          <w:rFonts w:ascii="宋体" w:hAnsi="宋体" w:cs="宋体"/>
          <w:color w:val="auto"/>
          <w:sz w:val="24"/>
          <w:highlight w:val="none"/>
          <w:u w:val="single"/>
        </w:rPr>
      </w:pPr>
      <w:r>
        <w:rPr>
          <w:rFonts w:hint="eastAsia" w:ascii="宋体" w:hAnsi="宋体" w:cs="宋体"/>
          <w:color w:val="auto"/>
          <w:sz w:val="24"/>
          <w:highlight w:val="none"/>
        </w:rPr>
        <w:t>日    期：</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u w:val="single"/>
        </w:rPr>
        <w:t xml:space="preserve">    </w:t>
      </w:r>
      <w:r>
        <w:rPr>
          <w:rFonts w:hint="eastAsia" w:ascii="宋体" w:hAnsi="宋体" w:cs="宋体"/>
          <w:color w:val="auto"/>
          <w:sz w:val="24"/>
          <w:highlight w:val="none"/>
        </w:rPr>
        <w:t>日</w:t>
      </w:r>
    </w:p>
    <w:p>
      <w:pPr>
        <w:adjustRightInd w:val="0"/>
        <w:snapToGrid w:val="0"/>
        <w:spacing w:line="400" w:lineRule="exact"/>
        <w:ind w:firstLine="241"/>
        <w:jc w:val="center"/>
        <w:rPr>
          <w:color w:val="auto"/>
          <w:sz w:val="24"/>
          <w:highlight w:val="none"/>
        </w:rPr>
        <w:sectPr>
          <w:pgSz w:w="11907" w:h="16840"/>
          <w:pgMar w:top="1440" w:right="1800" w:bottom="1440" w:left="1800" w:header="680" w:footer="680" w:gutter="0"/>
          <w:cols w:space="720" w:num="1"/>
          <w:docGrid w:linePitch="286" w:charSpace="0"/>
        </w:sectPr>
      </w:pPr>
    </w:p>
    <w:p>
      <w:pPr>
        <w:spacing w:line="400" w:lineRule="exact"/>
        <w:jc w:val="center"/>
        <w:rPr>
          <w:b/>
          <w:color w:val="auto"/>
          <w:sz w:val="36"/>
          <w:szCs w:val="36"/>
          <w:highlight w:val="none"/>
        </w:rPr>
      </w:pPr>
      <w:r>
        <w:rPr>
          <w:rFonts w:hint="eastAsia"/>
          <w:b/>
          <w:color w:val="auto"/>
          <w:sz w:val="36"/>
          <w:szCs w:val="36"/>
          <w:highlight w:val="none"/>
        </w:rPr>
        <w:t>九、无行贿犯罪记录承诺声明</w:t>
      </w:r>
    </w:p>
    <w:p>
      <w:pPr>
        <w:spacing w:line="400" w:lineRule="exact"/>
        <w:ind w:left="420" w:leftChars="200"/>
        <w:rPr>
          <w:rFonts w:ascii="Calibri" w:hAnsi="Calibri"/>
          <w:iCs/>
          <w:color w:val="auto"/>
          <w:kern w:val="0"/>
          <w:sz w:val="28"/>
          <w:szCs w:val="28"/>
          <w:highlight w:val="none"/>
          <w:u w:val="single"/>
        </w:rPr>
      </w:pPr>
    </w:p>
    <w:p>
      <w:pPr>
        <w:spacing w:line="400" w:lineRule="exact"/>
        <w:rPr>
          <w:rFonts w:ascii="Calibri" w:hAnsi="Calibri"/>
          <w:i/>
          <w:iCs/>
          <w:color w:val="auto"/>
          <w:spacing w:val="10"/>
          <w:kern w:val="0"/>
          <w:sz w:val="24"/>
          <w:highlight w:val="none"/>
        </w:rPr>
      </w:pPr>
      <w:r>
        <w:rPr>
          <w:rFonts w:hint="eastAsia" w:ascii="Calibri" w:hAnsi="Calibri"/>
          <w:iCs/>
          <w:color w:val="auto"/>
          <w:kern w:val="0"/>
          <w:sz w:val="24"/>
          <w:highlight w:val="none"/>
          <w:u w:val="single"/>
        </w:rPr>
        <w:t>（招标人）名称</w:t>
      </w:r>
      <w:r>
        <w:rPr>
          <w:rFonts w:hint="eastAsia" w:ascii="Calibri" w:hAnsi="Calibri"/>
          <w:iCs/>
          <w:color w:val="auto"/>
          <w:kern w:val="0"/>
          <w:sz w:val="24"/>
          <w:highlight w:val="none"/>
        </w:rPr>
        <w:t>：</w:t>
      </w:r>
    </w:p>
    <w:p>
      <w:pPr>
        <w:spacing w:line="400" w:lineRule="exact"/>
        <w:ind w:firstLine="480" w:firstLineChars="200"/>
        <w:rPr>
          <w:rFonts w:ascii="Calibri" w:hAnsi="Calibri" w:cs="宋体"/>
          <w:i/>
          <w:iCs/>
          <w:color w:val="auto"/>
          <w:kern w:val="0"/>
          <w:sz w:val="24"/>
          <w:highlight w:val="none"/>
        </w:rPr>
      </w:pPr>
      <w:r>
        <w:rPr>
          <w:rFonts w:hint="eastAsia" w:ascii="Calibri" w:hAnsi="Calibri"/>
          <w:iCs/>
          <w:color w:val="auto"/>
          <w:kern w:val="0"/>
          <w:sz w:val="24"/>
          <w:highlight w:val="none"/>
        </w:rPr>
        <w:t>本单位</w:t>
      </w:r>
      <w:r>
        <w:rPr>
          <w:rFonts w:hint="eastAsia" w:ascii="Calibri" w:hAnsi="Calibri" w:cs="宋体"/>
          <w:iCs/>
          <w:color w:val="auto"/>
          <w:kern w:val="0"/>
          <w:sz w:val="24"/>
          <w:highlight w:val="none"/>
        </w:rPr>
        <w:t>无行贿犯罪记录。</w:t>
      </w:r>
    </w:p>
    <w:p>
      <w:pPr>
        <w:spacing w:line="400" w:lineRule="exact"/>
        <w:ind w:firstLine="504" w:firstLineChars="200"/>
        <w:rPr>
          <w:rFonts w:ascii="Calibri" w:hAnsi="Calibri"/>
          <w:i/>
          <w:iCs/>
          <w:color w:val="auto"/>
          <w:spacing w:val="6"/>
          <w:kern w:val="0"/>
          <w:sz w:val="24"/>
          <w:highlight w:val="none"/>
        </w:rPr>
      </w:pPr>
      <w:r>
        <w:rPr>
          <w:rFonts w:hint="eastAsia" w:ascii="Calibri" w:hAnsi="Calibri"/>
          <w:iCs/>
          <w:color w:val="auto"/>
          <w:spacing w:val="6"/>
          <w:kern w:val="0"/>
          <w:sz w:val="24"/>
          <w:highlight w:val="none"/>
        </w:rPr>
        <w:t>本公司对上述声明的真实性负责。如有虚假，将依法承担相应法律责任。</w:t>
      </w:r>
    </w:p>
    <w:p>
      <w:pPr>
        <w:spacing w:line="400" w:lineRule="exact"/>
        <w:rPr>
          <w:rFonts w:ascii="Calibri" w:hAnsi="Calibri"/>
          <w:i/>
          <w:iCs/>
          <w:color w:val="auto"/>
          <w:spacing w:val="6"/>
          <w:kern w:val="0"/>
          <w:sz w:val="24"/>
          <w:highlight w:val="none"/>
        </w:rPr>
      </w:pPr>
      <w:r>
        <w:rPr>
          <w:rFonts w:ascii="Calibri" w:hAnsi="Calibri"/>
          <w:iCs/>
          <w:color w:val="auto"/>
          <w:spacing w:val="6"/>
          <w:kern w:val="0"/>
          <w:sz w:val="24"/>
          <w:highlight w:val="none"/>
        </w:rPr>
        <w:t xml:space="preserve">                                  </w:t>
      </w:r>
    </w:p>
    <w:p>
      <w:pPr>
        <w:spacing w:line="400" w:lineRule="exact"/>
        <w:rPr>
          <w:rFonts w:ascii="Calibri" w:hAnsi="Calibri"/>
          <w:i/>
          <w:iCs/>
          <w:color w:val="auto"/>
          <w:spacing w:val="6"/>
          <w:kern w:val="0"/>
          <w:sz w:val="24"/>
          <w:highlight w:val="none"/>
        </w:rPr>
      </w:pPr>
    </w:p>
    <w:p>
      <w:pPr>
        <w:spacing w:line="400" w:lineRule="exact"/>
        <w:rPr>
          <w:rFonts w:ascii="Calibri" w:hAnsi="Calibri"/>
          <w:i/>
          <w:iCs/>
          <w:color w:val="auto"/>
          <w:spacing w:val="6"/>
          <w:kern w:val="0"/>
          <w:sz w:val="24"/>
          <w:highlight w:val="none"/>
        </w:rPr>
      </w:pPr>
    </w:p>
    <w:p>
      <w:pPr>
        <w:spacing w:line="400" w:lineRule="exact"/>
        <w:ind w:firstLine="420" w:firstLineChars="175"/>
        <w:jc w:val="left"/>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p>
    <w:p>
      <w:pPr>
        <w:spacing w:line="400" w:lineRule="exact"/>
        <w:ind w:firstLine="420" w:firstLineChars="175"/>
        <w:jc w:val="lef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r>
        <w:rPr>
          <w:rFonts w:hint="eastAsia" w:ascii="宋体" w:hAnsi="宋体" w:cs="宋体"/>
          <w:color w:val="auto"/>
          <w:sz w:val="24"/>
          <w:highlight w:val="none"/>
          <w:u w:val="single"/>
        </w:rPr>
        <w:t xml:space="preserve">             </w:t>
      </w:r>
    </w:p>
    <w:p>
      <w:pPr>
        <w:spacing w:line="400" w:lineRule="exact"/>
        <w:ind w:firstLine="420" w:firstLineChars="175"/>
        <w:rPr>
          <w:rFonts w:ascii="Calibri" w:hAnsi="Calibri"/>
          <w:i/>
          <w:iCs/>
          <w:color w:val="auto"/>
          <w:kern w:val="0"/>
          <w:sz w:val="24"/>
          <w:highlight w:val="none"/>
        </w:rPr>
      </w:pPr>
      <w:r>
        <w:rPr>
          <w:rFonts w:hint="eastAsia" w:ascii="宋体" w:hAnsi="宋体" w:cs="宋体"/>
          <w:color w:val="auto"/>
          <w:kern w:val="0"/>
          <w:sz w:val="24"/>
          <w:highlight w:val="none"/>
        </w:rPr>
        <w:t>日    期：</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pPr>
        <w:spacing w:line="400" w:lineRule="exact"/>
        <w:jc w:val="center"/>
        <w:rPr>
          <w:rFonts w:hAnsi="宋体"/>
          <w:b/>
          <w:color w:val="auto"/>
          <w:sz w:val="24"/>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400" w:lineRule="exact"/>
        <w:jc w:val="center"/>
        <w:rPr>
          <w:rFonts w:hAnsi="宋体"/>
          <w:b/>
          <w:color w:val="auto"/>
          <w:sz w:val="36"/>
          <w:szCs w:val="36"/>
          <w:highlight w:val="none"/>
        </w:rPr>
      </w:pPr>
    </w:p>
    <w:p>
      <w:pPr>
        <w:spacing w:line="360" w:lineRule="auto"/>
        <w:jc w:val="center"/>
        <w:rPr>
          <w:rFonts w:hAnsi="宋体"/>
          <w:b/>
          <w:color w:val="auto"/>
          <w:sz w:val="36"/>
          <w:szCs w:val="36"/>
          <w:highlight w:val="none"/>
        </w:rPr>
      </w:pPr>
    </w:p>
    <w:p>
      <w:pPr>
        <w:spacing w:line="360" w:lineRule="auto"/>
        <w:jc w:val="center"/>
        <w:rPr>
          <w:rStyle w:val="18"/>
          <w:bCs w:val="0"/>
          <w:color w:val="auto"/>
          <w:sz w:val="36"/>
          <w:szCs w:val="36"/>
          <w:highlight w:val="none"/>
        </w:rPr>
      </w:pPr>
      <w:r>
        <w:rPr>
          <w:rFonts w:hAnsi="宋体"/>
          <w:b/>
          <w:color w:val="auto"/>
          <w:sz w:val="36"/>
          <w:szCs w:val="36"/>
          <w:highlight w:val="none"/>
        </w:rPr>
        <w:t>第六章</w:t>
      </w:r>
      <w:r>
        <w:rPr>
          <w:b/>
          <w:color w:val="auto"/>
          <w:sz w:val="36"/>
          <w:szCs w:val="36"/>
          <w:highlight w:val="none"/>
        </w:rPr>
        <w:t xml:space="preserve"> </w:t>
      </w:r>
      <w:r>
        <w:rPr>
          <w:rFonts w:hAnsi="宋体"/>
          <w:b/>
          <w:color w:val="auto"/>
          <w:sz w:val="36"/>
          <w:szCs w:val="36"/>
          <w:highlight w:val="none"/>
        </w:rPr>
        <w:t>评标办法</w:t>
      </w:r>
    </w:p>
    <w:p>
      <w:pPr>
        <w:snapToGrid w:val="0"/>
        <w:spacing w:line="440" w:lineRule="exact"/>
        <w:jc w:val="left"/>
        <w:rPr>
          <w:rStyle w:val="18"/>
          <w:rFonts w:hAnsi="宋体"/>
          <w:color w:val="auto"/>
          <w:szCs w:val="21"/>
          <w:highlight w:val="none"/>
        </w:rPr>
      </w:pPr>
      <w:r>
        <w:rPr>
          <w:rStyle w:val="18"/>
          <w:rFonts w:hAnsi="宋体"/>
          <w:color w:val="auto"/>
          <w:szCs w:val="21"/>
          <w:highlight w:val="none"/>
        </w:rPr>
        <w:t>一．</w:t>
      </w:r>
      <w:r>
        <w:rPr>
          <w:rStyle w:val="18"/>
          <w:color w:val="auto"/>
          <w:szCs w:val="21"/>
          <w:highlight w:val="none"/>
        </w:rPr>
        <w:t xml:space="preserve"> </w:t>
      </w:r>
      <w:r>
        <w:rPr>
          <w:rStyle w:val="18"/>
          <w:rFonts w:hAnsi="宋体"/>
          <w:color w:val="auto"/>
          <w:szCs w:val="21"/>
          <w:highlight w:val="none"/>
        </w:rPr>
        <w:t>评标原则</w:t>
      </w:r>
    </w:p>
    <w:p>
      <w:pPr>
        <w:snapToGrid w:val="0"/>
        <w:spacing w:line="440" w:lineRule="exact"/>
        <w:jc w:val="left"/>
        <w:rPr>
          <w:rStyle w:val="18"/>
          <w:color w:val="auto"/>
          <w:szCs w:val="21"/>
          <w:highlight w:val="none"/>
        </w:rPr>
      </w:pPr>
      <w:r>
        <w:rPr>
          <w:rFonts w:hAnsi="宋体"/>
          <w:color w:val="auto"/>
          <w:szCs w:val="21"/>
          <w:highlight w:val="none"/>
        </w:rPr>
        <w:t>　　评标委员会按照平等、客观、公正、科学、择优的原则，按照招标文件的要求和条件进行评标</w:t>
      </w:r>
    </w:p>
    <w:p>
      <w:pPr>
        <w:snapToGrid w:val="0"/>
        <w:spacing w:line="440" w:lineRule="exact"/>
        <w:jc w:val="left"/>
        <w:rPr>
          <w:rStyle w:val="18"/>
          <w:rFonts w:hAnsi="宋体"/>
          <w:color w:val="auto"/>
          <w:szCs w:val="21"/>
          <w:highlight w:val="none"/>
        </w:rPr>
      </w:pPr>
      <w:r>
        <w:rPr>
          <w:rStyle w:val="18"/>
          <w:rFonts w:hAnsi="宋体"/>
          <w:color w:val="auto"/>
          <w:szCs w:val="21"/>
          <w:highlight w:val="none"/>
        </w:rPr>
        <w:t>二．</w:t>
      </w:r>
      <w:r>
        <w:rPr>
          <w:rStyle w:val="18"/>
          <w:color w:val="auto"/>
          <w:szCs w:val="21"/>
          <w:highlight w:val="none"/>
        </w:rPr>
        <w:t xml:space="preserve"> </w:t>
      </w:r>
      <w:r>
        <w:rPr>
          <w:rStyle w:val="18"/>
          <w:rFonts w:hAnsi="宋体"/>
          <w:color w:val="auto"/>
          <w:szCs w:val="21"/>
          <w:highlight w:val="none"/>
        </w:rPr>
        <w:t>评标组织</w:t>
      </w:r>
    </w:p>
    <w:p>
      <w:pPr>
        <w:snapToGrid w:val="0"/>
        <w:spacing w:line="440" w:lineRule="exact"/>
        <w:jc w:val="left"/>
        <w:rPr>
          <w:color w:val="auto"/>
          <w:szCs w:val="21"/>
          <w:highlight w:val="none"/>
        </w:rPr>
      </w:pPr>
      <w:r>
        <w:rPr>
          <w:rFonts w:hAnsi="宋体"/>
          <w:color w:val="auto"/>
          <w:szCs w:val="21"/>
          <w:highlight w:val="none"/>
        </w:rPr>
        <w:t>　　评标工作由招标人组建的评标委员会负责。</w:t>
      </w:r>
      <w:r>
        <w:rPr>
          <w:color w:val="auto"/>
          <w:szCs w:val="21"/>
          <w:highlight w:val="none"/>
        </w:rPr>
        <w:t xml:space="preserve"> </w:t>
      </w:r>
    </w:p>
    <w:p>
      <w:pPr>
        <w:snapToGrid w:val="0"/>
        <w:spacing w:line="440" w:lineRule="exact"/>
        <w:jc w:val="left"/>
        <w:rPr>
          <w:color w:val="auto"/>
          <w:szCs w:val="21"/>
          <w:highlight w:val="none"/>
        </w:rPr>
      </w:pPr>
      <w:r>
        <w:rPr>
          <w:rFonts w:hAnsi="宋体"/>
          <w:color w:val="auto"/>
          <w:szCs w:val="21"/>
          <w:highlight w:val="none"/>
        </w:rPr>
        <w:t>　　评标委员会的决定，应符合有关法律、法规和规章，并按少数服从多数的原则产生。</w:t>
      </w:r>
    </w:p>
    <w:p>
      <w:pPr>
        <w:snapToGrid w:val="0"/>
        <w:spacing w:line="440" w:lineRule="exact"/>
        <w:jc w:val="left"/>
        <w:rPr>
          <w:rStyle w:val="18"/>
          <w:rFonts w:hAnsi="宋体"/>
          <w:color w:val="auto"/>
          <w:szCs w:val="21"/>
          <w:highlight w:val="none"/>
        </w:rPr>
      </w:pPr>
      <w:r>
        <w:rPr>
          <w:rStyle w:val="18"/>
          <w:rFonts w:hAnsi="宋体"/>
          <w:color w:val="auto"/>
          <w:szCs w:val="21"/>
          <w:highlight w:val="none"/>
        </w:rPr>
        <w:t>三．评标程序和内容</w:t>
      </w:r>
    </w:p>
    <w:p>
      <w:pPr>
        <w:snapToGrid w:val="0"/>
        <w:spacing w:line="440" w:lineRule="exact"/>
        <w:jc w:val="left"/>
        <w:rPr>
          <w:color w:val="auto"/>
          <w:szCs w:val="21"/>
          <w:highlight w:val="none"/>
        </w:rPr>
      </w:pPr>
      <w:r>
        <w:rPr>
          <w:rFonts w:hAnsi="宋体"/>
          <w:color w:val="auto"/>
          <w:szCs w:val="21"/>
          <w:highlight w:val="none"/>
        </w:rPr>
        <w:t>评标采用综合评分法。</w:t>
      </w:r>
    </w:p>
    <w:p>
      <w:pPr>
        <w:snapToGrid w:val="0"/>
        <w:spacing w:line="440" w:lineRule="exact"/>
        <w:ind w:left="409" w:leftChars="195"/>
        <w:jc w:val="left"/>
        <w:rPr>
          <w:color w:val="auto"/>
          <w:szCs w:val="21"/>
          <w:highlight w:val="none"/>
        </w:rPr>
      </w:pPr>
      <w:r>
        <w:rPr>
          <w:color w:val="auto"/>
          <w:szCs w:val="21"/>
          <w:highlight w:val="none"/>
        </w:rPr>
        <w:t>1</w:t>
      </w:r>
      <w:r>
        <w:rPr>
          <w:rFonts w:hAnsi="宋体"/>
          <w:color w:val="auto"/>
          <w:szCs w:val="21"/>
          <w:highlight w:val="none"/>
        </w:rPr>
        <w:t>．评标的程序为：</w:t>
      </w:r>
    </w:p>
    <w:p>
      <w:pPr>
        <w:snapToGrid w:val="0"/>
        <w:spacing w:line="440" w:lineRule="exact"/>
        <w:ind w:left="409" w:leftChars="195"/>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）熟悉招标文件和评标办法；</w:t>
      </w:r>
    </w:p>
    <w:p>
      <w:pPr>
        <w:snapToGrid w:val="0"/>
        <w:spacing w:line="440" w:lineRule="exact"/>
        <w:ind w:left="409" w:leftChars="195"/>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）资格审查</w:t>
      </w:r>
    </w:p>
    <w:p>
      <w:pPr>
        <w:snapToGrid w:val="0"/>
        <w:spacing w:line="440" w:lineRule="exact"/>
        <w:ind w:left="409" w:leftChars="195"/>
        <w:jc w:val="left"/>
        <w:rPr>
          <w:color w:val="auto"/>
          <w:szCs w:val="21"/>
          <w:highlight w:val="none"/>
        </w:rPr>
      </w:pPr>
      <w:r>
        <w:rPr>
          <w:rFonts w:hAnsi="宋体"/>
          <w:color w:val="auto"/>
          <w:szCs w:val="21"/>
          <w:highlight w:val="none"/>
        </w:rPr>
        <w:t>（</w:t>
      </w:r>
      <w:r>
        <w:rPr>
          <w:color w:val="auto"/>
          <w:szCs w:val="21"/>
          <w:highlight w:val="none"/>
        </w:rPr>
        <w:t>3</w:t>
      </w:r>
      <w:r>
        <w:rPr>
          <w:rFonts w:hAnsi="宋体"/>
          <w:color w:val="auto"/>
          <w:szCs w:val="21"/>
          <w:highlight w:val="none"/>
        </w:rPr>
        <w:t>）投标文件初步评审；</w:t>
      </w:r>
    </w:p>
    <w:p>
      <w:pPr>
        <w:snapToGrid w:val="0"/>
        <w:spacing w:line="440" w:lineRule="exact"/>
        <w:ind w:left="409" w:leftChars="195"/>
        <w:jc w:val="left"/>
        <w:rPr>
          <w:color w:val="auto"/>
          <w:szCs w:val="21"/>
          <w:highlight w:val="none"/>
        </w:rPr>
      </w:pPr>
      <w:r>
        <w:rPr>
          <w:rFonts w:hAnsi="宋体"/>
          <w:color w:val="auto"/>
          <w:szCs w:val="21"/>
          <w:highlight w:val="none"/>
        </w:rPr>
        <w:t>（</w:t>
      </w:r>
      <w:r>
        <w:rPr>
          <w:color w:val="auto"/>
          <w:szCs w:val="21"/>
          <w:highlight w:val="none"/>
        </w:rPr>
        <w:t>4</w:t>
      </w:r>
      <w:r>
        <w:rPr>
          <w:rFonts w:hAnsi="宋体"/>
          <w:color w:val="auto"/>
          <w:szCs w:val="21"/>
          <w:highlight w:val="none"/>
        </w:rPr>
        <w:t>）投标文件的详细评审；</w:t>
      </w:r>
    </w:p>
    <w:p>
      <w:pPr>
        <w:snapToGrid w:val="0"/>
        <w:spacing w:line="440" w:lineRule="exact"/>
        <w:ind w:left="409" w:leftChars="195"/>
        <w:jc w:val="left"/>
        <w:rPr>
          <w:color w:val="auto"/>
          <w:szCs w:val="21"/>
          <w:highlight w:val="none"/>
        </w:rPr>
      </w:pPr>
      <w:r>
        <w:rPr>
          <w:rFonts w:hAnsi="宋体"/>
          <w:color w:val="auto"/>
          <w:szCs w:val="21"/>
          <w:highlight w:val="none"/>
        </w:rPr>
        <w:t>（</w:t>
      </w:r>
      <w:r>
        <w:rPr>
          <w:color w:val="auto"/>
          <w:szCs w:val="21"/>
          <w:highlight w:val="none"/>
        </w:rPr>
        <w:t>5</w:t>
      </w:r>
      <w:r>
        <w:rPr>
          <w:rFonts w:hAnsi="宋体"/>
          <w:color w:val="auto"/>
          <w:szCs w:val="21"/>
          <w:highlight w:val="none"/>
        </w:rPr>
        <w:t>）询标澄清投标文件的疑问（如有必要）；</w:t>
      </w:r>
    </w:p>
    <w:p>
      <w:pPr>
        <w:snapToGrid w:val="0"/>
        <w:spacing w:line="440" w:lineRule="exact"/>
        <w:ind w:left="409" w:leftChars="195"/>
        <w:jc w:val="left"/>
        <w:rPr>
          <w:color w:val="auto"/>
          <w:szCs w:val="21"/>
          <w:highlight w:val="none"/>
        </w:rPr>
      </w:pPr>
      <w:r>
        <w:rPr>
          <w:rFonts w:hAnsi="宋体"/>
          <w:color w:val="auto"/>
          <w:szCs w:val="21"/>
          <w:highlight w:val="none"/>
        </w:rPr>
        <w:t>（</w:t>
      </w:r>
      <w:r>
        <w:rPr>
          <w:color w:val="auto"/>
          <w:szCs w:val="21"/>
          <w:highlight w:val="none"/>
        </w:rPr>
        <w:t>6</w:t>
      </w:r>
      <w:r>
        <w:rPr>
          <w:rFonts w:hAnsi="宋体"/>
          <w:color w:val="auto"/>
          <w:szCs w:val="21"/>
          <w:highlight w:val="none"/>
        </w:rPr>
        <w:t>）完成评标报告，推荐中标候选人。</w:t>
      </w:r>
    </w:p>
    <w:p>
      <w:pPr>
        <w:snapToGrid w:val="0"/>
        <w:spacing w:line="440" w:lineRule="exact"/>
        <w:ind w:firstLine="420" w:firstLineChars="200"/>
        <w:jc w:val="left"/>
        <w:rPr>
          <w:color w:val="auto"/>
          <w:szCs w:val="21"/>
          <w:highlight w:val="none"/>
        </w:rPr>
      </w:pPr>
      <w:r>
        <w:rPr>
          <w:color w:val="auto"/>
          <w:szCs w:val="21"/>
          <w:highlight w:val="none"/>
        </w:rPr>
        <w:t>2</w:t>
      </w:r>
      <w:r>
        <w:rPr>
          <w:rFonts w:hAnsi="宋体"/>
          <w:color w:val="auto"/>
          <w:szCs w:val="21"/>
          <w:highlight w:val="none"/>
        </w:rPr>
        <w:t>．资格审查</w:t>
      </w:r>
    </w:p>
    <w:p>
      <w:pPr>
        <w:snapToGrid w:val="0"/>
        <w:spacing w:line="440" w:lineRule="exact"/>
        <w:ind w:firstLine="420" w:firstLineChars="200"/>
        <w:jc w:val="left"/>
        <w:rPr>
          <w:color w:val="auto"/>
          <w:szCs w:val="21"/>
          <w:highlight w:val="none"/>
        </w:rPr>
      </w:pPr>
      <w:r>
        <w:rPr>
          <w:rFonts w:hAnsi="宋体"/>
          <w:color w:val="auto"/>
          <w:szCs w:val="21"/>
          <w:highlight w:val="none"/>
        </w:rPr>
        <w:t>评标委员会应依照招标文件的要求和规定首先对投标人的投标资格进行审查。投标人的资格审查不合格，将不再进行下一步的评审。</w:t>
      </w:r>
    </w:p>
    <w:p>
      <w:pPr>
        <w:snapToGrid w:val="0"/>
        <w:spacing w:line="440" w:lineRule="exact"/>
        <w:ind w:firstLine="420" w:firstLineChars="200"/>
        <w:jc w:val="left"/>
        <w:rPr>
          <w:rFonts w:hAnsi="宋体"/>
          <w:color w:val="auto"/>
          <w:szCs w:val="21"/>
          <w:highlight w:val="none"/>
        </w:rPr>
      </w:pPr>
      <w:r>
        <w:rPr>
          <w:color w:val="auto"/>
          <w:szCs w:val="21"/>
          <w:highlight w:val="none"/>
        </w:rPr>
        <w:t>3</w:t>
      </w:r>
      <w:r>
        <w:rPr>
          <w:rFonts w:hAnsi="宋体"/>
          <w:color w:val="auto"/>
          <w:szCs w:val="21"/>
          <w:highlight w:val="none"/>
        </w:rPr>
        <w:t>．投标文件的初步审查</w:t>
      </w:r>
    </w:p>
    <w:p>
      <w:pPr>
        <w:snapToGrid w:val="0"/>
        <w:spacing w:line="440" w:lineRule="exact"/>
        <w:ind w:firstLine="420" w:firstLineChars="200"/>
        <w:jc w:val="left"/>
        <w:rPr>
          <w:color w:val="auto"/>
          <w:szCs w:val="21"/>
          <w:highlight w:val="none"/>
        </w:rPr>
      </w:pPr>
      <w:r>
        <w:rPr>
          <w:rFonts w:hAnsi="宋体"/>
          <w:color w:val="auto"/>
          <w:szCs w:val="21"/>
          <w:highlight w:val="none"/>
        </w:rPr>
        <w:t>评标委员会应依照招标文件的要求和规定首先对投标人的投标文件进行初步审查。</w:t>
      </w:r>
    </w:p>
    <w:p>
      <w:pPr>
        <w:snapToGrid w:val="0"/>
        <w:spacing w:line="440" w:lineRule="exact"/>
        <w:ind w:firstLine="420" w:firstLineChars="200"/>
        <w:jc w:val="left"/>
        <w:rPr>
          <w:color w:val="auto"/>
          <w:szCs w:val="21"/>
          <w:highlight w:val="none"/>
        </w:rPr>
      </w:pPr>
      <w:r>
        <w:rPr>
          <w:rFonts w:hAnsi="宋体"/>
          <w:color w:val="auto"/>
          <w:szCs w:val="21"/>
          <w:highlight w:val="none"/>
        </w:rPr>
        <w:t>投标人不得通过补充、修改或撤消投标文件中的内容使其成为实质性响应的投标。投标人在投标截止时间以后不得提交任何资料作为评标依据。</w:t>
      </w:r>
      <w:r>
        <w:rPr>
          <w:color w:val="auto"/>
          <w:szCs w:val="21"/>
          <w:highlight w:val="none"/>
        </w:rPr>
        <w:t xml:space="preserve"> </w:t>
      </w:r>
    </w:p>
    <w:p>
      <w:pPr>
        <w:adjustRightInd w:val="0"/>
        <w:snapToGrid w:val="0"/>
        <w:spacing w:line="440" w:lineRule="exact"/>
        <w:ind w:right="17" w:firstLine="210" w:firstLineChars="100"/>
        <w:jc w:val="left"/>
        <w:rPr>
          <w:color w:val="auto"/>
          <w:szCs w:val="21"/>
          <w:highlight w:val="none"/>
        </w:rPr>
      </w:pPr>
      <w:r>
        <w:rPr>
          <w:rFonts w:hAnsi="宋体"/>
          <w:color w:val="auto"/>
          <w:szCs w:val="21"/>
          <w:highlight w:val="none"/>
        </w:rPr>
        <w:t>　存在以下情况之一的，经评标委员会审核确认，作为初步审查不合格，不再进行下一步的评审：</w:t>
      </w:r>
    </w:p>
    <w:p>
      <w:pPr>
        <w:snapToGrid w:val="0"/>
        <w:spacing w:line="440" w:lineRule="exact"/>
        <w:ind w:right="-21" w:rightChars="-10" w:firstLine="207" w:firstLineChars="98"/>
        <w:jc w:val="left"/>
        <w:rPr>
          <w:b/>
          <w:color w:val="auto"/>
          <w:szCs w:val="21"/>
          <w:highlight w:val="none"/>
        </w:rPr>
      </w:pPr>
      <w:r>
        <w:rPr>
          <w:rFonts w:hint="eastAsia" w:hAnsi="宋体"/>
          <w:b/>
          <w:color w:val="auto"/>
          <w:szCs w:val="21"/>
          <w:highlight w:val="none"/>
        </w:rPr>
        <w:t xml:space="preserve">  </w:t>
      </w:r>
      <w:r>
        <w:rPr>
          <w:rFonts w:hAnsi="宋体"/>
          <w:b/>
          <w:color w:val="auto"/>
          <w:szCs w:val="21"/>
          <w:highlight w:val="none"/>
        </w:rPr>
        <w:t>（</w:t>
      </w:r>
      <w:r>
        <w:rPr>
          <w:b/>
          <w:color w:val="auto"/>
          <w:szCs w:val="21"/>
          <w:highlight w:val="none"/>
        </w:rPr>
        <w:t>1</w:t>
      </w:r>
      <w:r>
        <w:rPr>
          <w:rFonts w:hAnsi="宋体"/>
          <w:b/>
          <w:color w:val="auto"/>
          <w:szCs w:val="21"/>
          <w:highlight w:val="none"/>
        </w:rPr>
        <w:t>）投标人未提交投标保证金或金额不足、投标保证金不符合招标文件要求的；</w:t>
      </w:r>
    </w:p>
    <w:p>
      <w:pPr>
        <w:snapToGrid w:val="0"/>
        <w:spacing w:line="440" w:lineRule="exact"/>
        <w:ind w:right="-21" w:rightChars="-10"/>
        <w:jc w:val="left"/>
        <w:rPr>
          <w:b/>
          <w:color w:val="auto"/>
          <w:szCs w:val="21"/>
          <w:highlight w:val="none"/>
        </w:rPr>
      </w:pPr>
      <w:r>
        <w:rPr>
          <w:b/>
          <w:color w:val="auto"/>
          <w:szCs w:val="21"/>
          <w:highlight w:val="none"/>
        </w:rPr>
        <w:t xml:space="preserve">    </w:t>
      </w:r>
      <w:r>
        <w:rPr>
          <w:rFonts w:hAnsi="宋体"/>
          <w:b/>
          <w:color w:val="auto"/>
          <w:szCs w:val="21"/>
          <w:highlight w:val="none"/>
        </w:rPr>
        <w:t>（</w:t>
      </w:r>
      <w:r>
        <w:rPr>
          <w:b/>
          <w:color w:val="auto"/>
          <w:szCs w:val="21"/>
          <w:highlight w:val="none"/>
        </w:rPr>
        <w:t>2</w:t>
      </w:r>
      <w:r>
        <w:rPr>
          <w:rFonts w:hAnsi="宋体"/>
          <w:b/>
          <w:color w:val="auto"/>
          <w:szCs w:val="21"/>
          <w:highlight w:val="none"/>
        </w:rPr>
        <w:t>）资格证明文件（指投标文件明确要求提供的）不全的；</w:t>
      </w:r>
    </w:p>
    <w:p>
      <w:pPr>
        <w:snapToGrid w:val="0"/>
        <w:spacing w:line="440" w:lineRule="exact"/>
        <w:ind w:right="-21" w:rightChars="-10"/>
        <w:jc w:val="left"/>
        <w:rPr>
          <w:b/>
          <w:color w:val="auto"/>
          <w:szCs w:val="21"/>
          <w:highlight w:val="none"/>
        </w:rPr>
      </w:pPr>
      <w:r>
        <w:rPr>
          <w:b/>
          <w:color w:val="auto"/>
          <w:szCs w:val="21"/>
          <w:highlight w:val="none"/>
        </w:rPr>
        <w:t xml:space="preserve">    </w:t>
      </w:r>
      <w:r>
        <w:rPr>
          <w:rFonts w:hAnsi="宋体"/>
          <w:b/>
          <w:color w:val="auto"/>
          <w:szCs w:val="21"/>
          <w:highlight w:val="none"/>
        </w:rPr>
        <w:t>（</w:t>
      </w:r>
      <w:r>
        <w:rPr>
          <w:b/>
          <w:color w:val="auto"/>
          <w:szCs w:val="21"/>
          <w:highlight w:val="none"/>
        </w:rPr>
        <w:t>3</w:t>
      </w:r>
      <w:r>
        <w:rPr>
          <w:rFonts w:hAnsi="宋体"/>
          <w:b/>
          <w:color w:val="auto"/>
          <w:szCs w:val="21"/>
          <w:highlight w:val="none"/>
        </w:rPr>
        <w:t>）</w:t>
      </w:r>
      <w:r>
        <w:rPr>
          <w:rFonts w:hAnsi="宋体"/>
          <w:b/>
          <w:bCs/>
          <w:color w:val="auto"/>
          <w:szCs w:val="21"/>
          <w:highlight w:val="none"/>
        </w:rPr>
        <w:t>投标文件未按招标文件要求加盖投标人公章、无法定代表人签字</w:t>
      </w:r>
      <w:r>
        <w:rPr>
          <w:rFonts w:hint="eastAsia" w:hAnsi="宋体"/>
          <w:b/>
          <w:bCs/>
          <w:color w:val="auto"/>
          <w:szCs w:val="21"/>
          <w:highlight w:val="none"/>
        </w:rPr>
        <w:t>（或盖章）</w:t>
      </w:r>
      <w:r>
        <w:rPr>
          <w:rFonts w:hAnsi="宋体"/>
          <w:b/>
          <w:bCs/>
          <w:color w:val="auto"/>
          <w:szCs w:val="21"/>
          <w:highlight w:val="none"/>
        </w:rPr>
        <w:t>或其授权代表签字</w:t>
      </w:r>
      <w:r>
        <w:rPr>
          <w:rFonts w:hint="eastAsia" w:hAnsi="宋体"/>
          <w:b/>
          <w:bCs/>
          <w:color w:val="auto"/>
          <w:szCs w:val="21"/>
          <w:highlight w:val="none"/>
        </w:rPr>
        <w:t>（或盖章）</w:t>
      </w:r>
      <w:r>
        <w:rPr>
          <w:rFonts w:hAnsi="宋体"/>
          <w:b/>
          <w:bCs/>
          <w:color w:val="auto"/>
          <w:szCs w:val="21"/>
          <w:highlight w:val="none"/>
        </w:rPr>
        <w:t>的（仅限于招标文件要求有单位印章和法定代表人或其授权代表签字或盖章处）</w:t>
      </w:r>
      <w:r>
        <w:rPr>
          <w:rFonts w:hAnsi="宋体"/>
          <w:b/>
          <w:color w:val="auto"/>
          <w:szCs w:val="21"/>
          <w:highlight w:val="none"/>
        </w:rPr>
        <w:t>；</w:t>
      </w:r>
    </w:p>
    <w:p>
      <w:pPr>
        <w:snapToGrid w:val="0"/>
        <w:spacing w:line="440" w:lineRule="exact"/>
        <w:ind w:right="-21" w:rightChars="-10"/>
        <w:jc w:val="left"/>
        <w:rPr>
          <w:b/>
          <w:color w:val="auto"/>
          <w:szCs w:val="21"/>
          <w:highlight w:val="none"/>
        </w:rPr>
      </w:pPr>
      <w:r>
        <w:rPr>
          <w:b/>
          <w:color w:val="auto"/>
          <w:szCs w:val="21"/>
          <w:highlight w:val="none"/>
        </w:rPr>
        <w:t xml:space="preserve">    </w:t>
      </w:r>
      <w:r>
        <w:rPr>
          <w:rFonts w:hAnsi="宋体"/>
          <w:b/>
          <w:color w:val="auto"/>
          <w:szCs w:val="21"/>
          <w:highlight w:val="none"/>
        </w:rPr>
        <w:t>（</w:t>
      </w:r>
      <w:r>
        <w:rPr>
          <w:b/>
          <w:color w:val="auto"/>
          <w:szCs w:val="21"/>
          <w:highlight w:val="none"/>
        </w:rPr>
        <w:t>4</w:t>
      </w:r>
      <w:r>
        <w:rPr>
          <w:rFonts w:hAnsi="宋体"/>
          <w:b/>
          <w:color w:val="auto"/>
          <w:szCs w:val="21"/>
          <w:highlight w:val="none"/>
        </w:rPr>
        <w:t>）投标有效期不足的；</w:t>
      </w:r>
    </w:p>
    <w:p>
      <w:pPr>
        <w:snapToGrid w:val="0"/>
        <w:spacing w:line="440" w:lineRule="exact"/>
        <w:ind w:right="-21" w:rightChars="-10"/>
        <w:jc w:val="left"/>
        <w:rPr>
          <w:b/>
          <w:color w:val="auto"/>
          <w:szCs w:val="21"/>
          <w:highlight w:val="none"/>
        </w:rPr>
      </w:pPr>
      <w:r>
        <w:rPr>
          <w:b/>
          <w:color w:val="auto"/>
          <w:szCs w:val="21"/>
          <w:highlight w:val="none"/>
        </w:rPr>
        <w:t xml:space="preserve">    </w:t>
      </w:r>
      <w:r>
        <w:rPr>
          <w:rFonts w:hAnsi="宋体"/>
          <w:b/>
          <w:color w:val="auto"/>
          <w:szCs w:val="21"/>
          <w:highlight w:val="none"/>
        </w:rPr>
        <w:t>（</w:t>
      </w:r>
      <w:r>
        <w:rPr>
          <w:b/>
          <w:color w:val="auto"/>
          <w:szCs w:val="21"/>
          <w:highlight w:val="none"/>
        </w:rPr>
        <w:t>5</w:t>
      </w:r>
      <w:r>
        <w:rPr>
          <w:rFonts w:hAnsi="宋体"/>
          <w:b/>
          <w:color w:val="auto"/>
          <w:szCs w:val="21"/>
          <w:highlight w:val="none"/>
        </w:rPr>
        <w:t>）明显不符合招标文件规定打</w:t>
      </w:r>
      <w:r>
        <w:rPr>
          <w:b/>
          <w:color w:val="auto"/>
          <w:szCs w:val="21"/>
          <w:highlight w:val="none"/>
        </w:rPr>
        <w:t>“</w:t>
      </w:r>
      <w:r>
        <w:rPr>
          <w:rFonts w:ascii="宋体" w:hAnsi="宋体"/>
          <w:b/>
          <w:color w:val="auto"/>
          <w:szCs w:val="21"/>
          <w:highlight w:val="none"/>
        </w:rPr>
        <w:t>★</w:t>
      </w:r>
      <w:r>
        <w:rPr>
          <w:b/>
          <w:color w:val="auto"/>
          <w:szCs w:val="21"/>
          <w:highlight w:val="none"/>
        </w:rPr>
        <w:t>”</w:t>
      </w:r>
      <w:r>
        <w:rPr>
          <w:rFonts w:hAnsi="宋体"/>
          <w:b/>
          <w:color w:val="auto"/>
          <w:szCs w:val="21"/>
          <w:highlight w:val="none"/>
        </w:rPr>
        <w:t>的条款；</w:t>
      </w:r>
    </w:p>
    <w:p>
      <w:pPr>
        <w:snapToGrid w:val="0"/>
        <w:spacing w:line="440" w:lineRule="exact"/>
        <w:ind w:right="-21" w:rightChars="-10"/>
        <w:jc w:val="left"/>
        <w:rPr>
          <w:b/>
          <w:color w:val="auto"/>
          <w:szCs w:val="21"/>
          <w:highlight w:val="none"/>
        </w:rPr>
      </w:pPr>
      <w:r>
        <w:rPr>
          <w:rFonts w:hint="eastAsia"/>
          <w:b/>
          <w:color w:val="auto"/>
          <w:szCs w:val="21"/>
          <w:highlight w:val="none"/>
        </w:rPr>
        <w:t xml:space="preserve"> </w:t>
      </w:r>
      <w:r>
        <w:rPr>
          <w:rFonts w:hint="eastAsia" w:hAnsi="宋体"/>
          <w:b/>
          <w:color w:val="auto"/>
          <w:szCs w:val="21"/>
          <w:highlight w:val="none"/>
        </w:rPr>
        <w:t xml:space="preserve">   </w:t>
      </w:r>
      <w:r>
        <w:rPr>
          <w:rFonts w:hAnsi="宋体"/>
          <w:b/>
          <w:color w:val="auto"/>
          <w:szCs w:val="21"/>
          <w:highlight w:val="none"/>
        </w:rPr>
        <w:t>（</w:t>
      </w:r>
      <w:r>
        <w:rPr>
          <w:b/>
          <w:color w:val="auto"/>
          <w:szCs w:val="21"/>
          <w:highlight w:val="none"/>
        </w:rPr>
        <w:t>6</w:t>
      </w:r>
      <w:r>
        <w:rPr>
          <w:rFonts w:hAnsi="宋体"/>
          <w:b/>
          <w:color w:val="auto"/>
          <w:szCs w:val="21"/>
          <w:highlight w:val="none"/>
        </w:rPr>
        <w:t>）法律法规另有规定的。</w:t>
      </w:r>
      <w:r>
        <w:rPr>
          <w:b/>
          <w:color w:val="auto"/>
          <w:szCs w:val="21"/>
          <w:highlight w:val="none"/>
        </w:rPr>
        <w:t xml:space="preserve"> </w:t>
      </w:r>
    </w:p>
    <w:p>
      <w:pPr>
        <w:snapToGrid w:val="0"/>
        <w:spacing w:line="440" w:lineRule="exact"/>
        <w:ind w:firstLine="420" w:firstLineChars="200"/>
        <w:jc w:val="left"/>
        <w:rPr>
          <w:color w:val="auto"/>
          <w:szCs w:val="21"/>
          <w:highlight w:val="none"/>
        </w:rPr>
      </w:pPr>
      <w:r>
        <w:rPr>
          <w:color w:val="auto"/>
          <w:highlight w:val="none"/>
        </w:rPr>
        <w:t>4</w:t>
      </w:r>
      <w:r>
        <w:rPr>
          <w:rFonts w:hAnsi="宋体"/>
          <w:color w:val="auto"/>
          <w:szCs w:val="21"/>
          <w:highlight w:val="none"/>
        </w:rPr>
        <w:t>．投标文件的详细评审　</w:t>
      </w:r>
    </w:p>
    <w:p>
      <w:pPr>
        <w:snapToGrid w:val="0"/>
        <w:spacing w:line="440" w:lineRule="exact"/>
        <w:ind w:firstLine="420" w:firstLineChars="200"/>
        <w:jc w:val="left"/>
        <w:rPr>
          <w:color w:val="auto"/>
          <w:szCs w:val="21"/>
          <w:highlight w:val="none"/>
        </w:rPr>
      </w:pPr>
      <w:r>
        <w:rPr>
          <w:rFonts w:hAnsi="宋体"/>
          <w:color w:val="auto"/>
          <w:szCs w:val="21"/>
          <w:highlight w:val="none"/>
        </w:rPr>
        <w:t>评标委员会仅对通过初步审查的投标文件进行详细评审。详细评审采用综合评分法，具体按照本评标办法</w:t>
      </w:r>
      <w:r>
        <w:rPr>
          <w:color w:val="auto"/>
          <w:szCs w:val="21"/>
          <w:highlight w:val="none"/>
        </w:rPr>
        <w:t>“</w:t>
      </w:r>
      <w:r>
        <w:rPr>
          <w:rFonts w:hAnsi="宋体"/>
          <w:color w:val="auto"/>
          <w:szCs w:val="21"/>
          <w:highlight w:val="none"/>
        </w:rPr>
        <w:t>四．评分细则</w:t>
      </w:r>
      <w:r>
        <w:rPr>
          <w:color w:val="auto"/>
          <w:szCs w:val="21"/>
          <w:highlight w:val="none"/>
        </w:rPr>
        <w:t>”</w:t>
      </w:r>
      <w:r>
        <w:rPr>
          <w:rFonts w:hAnsi="宋体"/>
          <w:color w:val="auto"/>
          <w:szCs w:val="21"/>
          <w:highlight w:val="none"/>
        </w:rPr>
        <w:t>。</w:t>
      </w:r>
    </w:p>
    <w:p>
      <w:pPr>
        <w:snapToGrid w:val="0"/>
        <w:spacing w:line="440" w:lineRule="exact"/>
        <w:ind w:firstLine="420" w:firstLineChars="200"/>
        <w:jc w:val="left"/>
        <w:rPr>
          <w:color w:val="auto"/>
          <w:szCs w:val="21"/>
          <w:highlight w:val="none"/>
        </w:rPr>
      </w:pPr>
      <w:r>
        <w:rPr>
          <w:rFonts w:hAnsi="宋体"/>
          <w:color w:val="auto"/>
          <w:highlight w:val="none"/>
        </w:rPr>
        <w:t>经评审后的有效标少于三家时，如评标委员会认为其投标价格合理，技术可行，则可以继续评标，否则评标委员会可否决所有投标，招标人将依法重新招标。</w:t>
      </w:r>
    </w:p>
    <w:p>
      <w:pPr>
        <w:snapToGrid w:val="0"/>
        <w:spacing w:line="440" w:lineRule="exact"/>
        <w:ind w:firstLine="420" w:firstLineChars="200"/>
        <w:jc w:val="left"/>
        <w:rPr>
          <w:color w:val="auto"/>
          <w:szCs w:val="21"/>
          <w:highlight w:val="none"/>
        </w:rPr>
      </w:pPr>
      <w:r>
        <w:rPr>
          <w:color w:val="auto"/>
          <w:szCs w:val="21"/>
          <w:highlight w:val="none"/>
        </w:rPr>
        <w:t>5</w:t>
      </w:r>
      <w:r>
        <w:rPr>
          <w:rFonts w:hAnsi="宋体"/>
          <w:color w:val="auto"/>
          <w:szCs w:val="21"/>
          <w:highlight w:val="none"/>
        </w:rPr>
        <w:t>．评标报告</w:t>
      </w:r>
      <w:r>
        <w:rPr>
          <w:color w:val="auto"/>
          <w:szCs w:val="21"/>
          <w:highlight w:val="none"/>
        </w:rPr>
        <w:t xml:space="preserve"> </w:t>
      </w:r>
    </w:p>
    <w:p>
      <w:pPr>
        <w:snapToGrid w:val="0"/>
        <w:spacing w:line="440" w:lineRule="exact"/>
        <w:ind w:firstLine="420" w:firstLineChars="200"/>
        <w:jc w:val="left"/>
        <w:rPr>
          <w:color w:val="auto"/>
          <w:szCs w:val="21"/>
          <w:highlight w:val="none"/>
        </w:rPr>
      </w:pPr>
      <w:r>
        <w:rPr>
          <w:rFonts w:hAnsi="宋体"/>
          <w:color w:val="auto"/>
          <w:szCs w:val="21"/>
          <w:highlight w:val="none"/>
        </w:rPr>
        <w:t>评标委员会应根据评标情况和结果，向招标人提交评标报告。评标报告应由评标委员会起草，按少数服从多数的原则通过。评标委员会全体成员应在评标报告上签字认可，评标专家如有保留意见可以在评标报告中阐明。</w:t>
      </w:r>
      <w:r>
        <w:rPr>
          <w:color w:val="auto"/>
          <w:szCs w:val="21"/>
          <w:highlight w:val="none"/>
        </w:rPr>
        <w:t xml:space="preserve"> </w:t>
      </w:r>
    </w:p>
    <w:p>
      <w:pPr>
        <w:snapToGrid w:val="0"/>
        <w:spacing w:line="440" w:lineRule="exact"/>
        <w:ind w:firstLine="420" w:firstLineChars="200"/>
        <w:jc w:val="left"/>
        <w:rPr>
          <w:color w:val="auto"/>
          <w:szCs w:val="21"/>
          <w:highlight w:val="none"/>
        </w:rPr>
      </w:pPr>
      <w:r>
        <w:rPr>
          <w:color w:val="auto"/>
          <w:szCs w:val="21"/>
          <w:highlight w:val="none"/>
        </w:rPr>
        <w:t>6</w:t>
      </w:r>
      <w:r>
        <w:rPr>
          <w:rFonts w:hAnsi="宋体"/>
          <w:color w:val="auto"/>
          <w:szCs w:val="21"/>
          <w:highlight w:val="none"/>
        </w:rPr>
        <w:t>．推荐中标人</w:t>
      </w:r>
    </w:p>
    <w:p>
      <w:pPr>
        <w:snapToGrid w:val="0"/>
        <w:spacing w:line="440" w:lineRule="exact"/>
        <w:ind w:firstLine="420" w:firstLineChars="200"/>
        <w:jc w:val="left"/>
        <w:rPr>
          <w:color w:val="auto"/>
          <w:szCs w:val="21"/>
          <w:highlight w:val="none"/>
        </w:rPr>
      </w:pPr>
      <w:r>
        <w:rPr>
          <w:rFonts w:hAnsi="宋体"/>
          <w:color w:val="auto"/>
          <w:szCs w:val="21"/>
          <w:highlight w:val="none"/>
        </w:rPr>
        <w:t>本次招标将推荐综合得分高的为中标候选人，如投标人的得分相同，则以评标委员会投票表决的方式决定排序。</w:t>
      </w:r>
    </w:p>
    <w:p>
      <w:pPr>
        <w:snapToGrid w:val="0"/>
        <w:spacing w:line="440" w:lineRule="exact"/>
        <w:jc w:val="left"/>
        <w:rPr>
          <w:b/>
          <w:bCs/>
          <w:color w:val="auto"/>
          <w:szCs w:val="21"/>
          <w:highlight w:val="none"/>
        </w:rPr>
      </w:pPr>
      <w:r>
        <w:rPr>
          <w:rFonts w:hAnsi="宋体"/>
          <w:b/>
          <w:bCs/>
          <w:color w:val="auto"/>
          <w:szCs w:val="21"/>
          <w:highlight w:val="none"/>
        </w:rPr>
        <w:t>四．评分细则</w:t>
      </w:r>
    </w:p>
    <w:p>
      <w:pPr>
        <w:snapToGrid w:val="0"/>
        <w:spacing w:line="440" w:lineRule="exact"/>
        <w:ind w:firstLine="422" w:firstLineChars="200"/>
        <w:rPr>
          <w:rFonts w:ascii="宋体" w:hAnsi="宋体"/>
          <w:b/>
          <w:color w:val="auto"/>
          <w:szCs w:val="21"/>
          <w:highlight w:val="none"/>
        </w:rPr>
      </w:pPr>
      <w:r>
        <w:rPr>
          <w:rFonts w:hint="eastAsia" w:ascii="宋体" w:hAnsi="宋体"/>
          <w:b/>
          <w:color w:val="auto"/>
          <w:szCs w:val="21"/>
          <w:highlight w:val="none"/>
        </w:rPr>
        <w:t>1.</w:t>
      </w:r>
      <w:r>
        <w:rPr>
          <w:rFonts w:ascii="宋体" w:hAnsi="宋体"/>
          <w:b/>
          <w:color w:val="auto"/>
          <w:szCs w:val="21"/>
          <w:highlight w:val="none"/>
        </w:rPr>
        <w:t>投标文件的</w:t>
      </w:r>
      <w:r>
        <w:rPr>
          <w:rFonts w:hint="eastAsia" w:ascii="宋体" w:hAnsi="宋体"/>
          <w:b/>
          <w:color w:val="auto"/>
          <w:szCs w:val="21"/>
          <w:highlight w:val="none"/>
        </w:rPr>
        <w:t>资信及技术</w:t>
      </w:r>
      <w:r>
        <w:rPr>
          <w:rFonts w:ascii="宋体" w:hAnsi="宋体"/>
          <w:b/>
          <w:color w:val="auto"/>
          <w:szCs w:val="21"/>
          <w:highlight w:val="none"/>
        </w:rPr>
        <w:t>评审</w:t>
      </w:r>
      <w:r>
        <w:rPr>
          <w:rFonts w:hint="eastAsia" w:ascii="宋体" w:hAnsi="宋体"/>
          <w:b/>
          <w:color w:val="auto"/>
          <w:szCs w:val="21"/>
          <w:highlight w:val="none"/>
        </w:rPr>
        <w:t xml:space="preserve"> 40分</w:t>
      </w:r>
    </w:p>
    <w:p>
      <w:pPr>
        <w:adjustRightInd w:val="0"/>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该评分分值由评标委员会成员独立打分（具体分值设定详见下表），小数点后保留</w:t>
      </w:r>
      <w:r>
        <w:rPr>
          <w:rFonts w:ascii="宋体" w:hAnsi="宋体"/>
          <w:color w:val="auto"/>
          <w:szCs w:val="21"/>
          <w:highlight w:val="none"/>
        </w:rPr>
        <w:t>1</w:t>
      </w:r>
      <w:r>
        <w:rPr>
          <w:rFonts w:hint="eastAsia" w:ascii="宋体" w:hAnsi="宋体"/>
          <w:color w:val="auto"/>
          <w:szCs w:val="21"/>
          <w:highlight w:val="none"/>
        </w:rPr>
        <w:t>位小数。每个投标人的最终资信及技术得分为评标委员会打分的算术平均值（小数点后保留</w:t>
      </w:r>
      <w:r>
        <w:rPr>
          <w:rFonts w:ascii="宋体" w:hAnsi="宋体"/>
          <w:color w:val="auto"/>
          <w:szCs w:val="21"/>
          <w:highlight w:val="none"/>
        </w:rPr>
        <w:t>2</w:t>
      </w:r>
      <w:r>
        <w:rPr>
          <w:rFonts w:hint="eastAsia" w:ascii="宋体" w:hAnsi="宋体"/>
          <w:color w:val="auto"/>
          <w:szCs w:val="21"/>
          <w:highlight w:val="none"/>
        </w:rPr>
        <w:t>位，第三位四舍五入）。</w:t>
      </w:r>
    </w:p>
    <w:p>
      <w:pPr>
        <w:adjustRightInd w:val="0"/>
        <w:snapToGrid w:val="0"/>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资信及技术评分分值设定标准</w:t>
      </w:r>
    </w:p>
    <w:tbl>
      <w:tblPr>
        <w:tblStyle w:val="1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760"/>
        <w:gridCol w:w="6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8755" w:type="dxa"/>
            <w:gridSpan w:val="3"/>
            <w:tcBorders>
              <w:left w:val="single" w:color="auto" w:sz="4" w:space="0"/>
            </w:tcBorders>
            <w:vAlign w:val="center"/>
          </w:tcPr>
          <w:p>
            <w:pPr>
              <w:spacing w:line="360" w:lineRule="auto"/>
              <w:jc w:val="center"/>
              <w:rPr>
                <w:color w:val="auto"/>
                <w:szCs w:val="21"/>
                <w:highlight w:val="none"/>
              </w:rPr>
            </w:pPr>
            <w:r>
              <w:rPr>
                <w:b/>
                <w:color w:val="auto"/>
                <w:szCs w:val="21"/>
                <w:highlight w:val="none"/>
              </w:rPr>
              <w:t>资信、业绩及其他得分（</w:t>
            </w:r>
            <w:r>
              <w:rPr>
                <w:rFonts w:hint="eastAsia"/>
                <w:b/>
                <w:color w:val="auto"/>
                <w:szCs w:val="21"/>
                <w:highlight w:val="none"/>
              </w:rPr>
              <w:t>10</w:t>
            </w:r>
            <w:r>
              <w:rPr>
                <w:b/>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6" w:hRule="atLeast"/>
        </w:trPr>
        <w:tc>
          <w:tcPr>
            <w:tcW w:w="1659" w:type="dxa"/>
            <w:tcBorders>
              <w:left w:val="single" w:color="auto" w:sz="4" w:space="0"/>
            </w:tcBorders>
            <w:vAlign w:val="center"/>
          </w:tcPr>
          <w:p>
            <w:pPr>
              <w:jc w:val="center"/>
              <w:rPr>
                <w:color w:val="auto"/>
                <w:highlight w:val="none"/>
              </w:rPr>
            </w:pPr>
            <w:r>
              <w:rPr>
                <w:rFonts w:hint="eastAsia"/>
                <w:color w:val="auto"/>
                <w:highlight w:val="none"/>
              </w:rPr>
              <w:t>企业实力</w:t>
            </w:r>
          </w:p>
        </w:tc>
        <w:tc>
          <w:tcPr>
            <w:tcW w:w="760" w:type="dxa"/>
            <w:tcBorders>
              <w:left w:val="single" w:color="auto" w:sz="4" w:space="0"/>
            </w:tcBorders>
            <w:vAlign w:val="center"/>
          </w:tcPr>
          <w:p>
            <w:pPr>
              <w:jc w:val="center"/>
              <w:rPr>
                <w:b/>
                <w:color w:val="auto"/>
                <w:szCs w:val="21"/>
                <w:highlight w:val="none"/>
              </w:rPr>
            </w:pPr>
            <w:r>
              <w:rPr>
                <w:b/>
                <w:color w:val="auto"/>
                <w:szCs w:val="21"/>
                <w:highlight w:val="none"/>
              </w:rPr>
              <w:t>5分</w:t>
            </w:r>
          </w:p>
        </w:tc>
        <w:tc>
          <w:tcPr>
            <w:tcW w:w="6336" w:type="dxa"/>
            <w:tcBorders>
              <w:left w:val="single" w:color="auto" w:sz="4" w:space="0"/>
            </w:tcBorders>
            <w:vAlign w:val="center"/>
          </w:tcPr>
          <w:p>
            <w:pPr>
              <w:rPr>
                <w:color w:val="auto"/>
                <w:highlight w:val="none"/>
              </w:rPr>
            </w:pPr>
            <w:r>
              <w:rPr>
                <w:rFonts w:hint="eastAsia"/>
                <w:color w:val="auto"/>
                <w:highlight w:val="none"/>
              </w:rPr>
              <w:t>投标产品企业</w:t>
            </w:r>
            <w:r>
              <w:rPr>
                <w:color w:val="auto"/>
                <w:highlight w:val="none"/>
              </w:rPr>
              <w:t>资质、</w:t>
            </w:r>
            <w:r>
              <w:rPr>
                <w:rFonts w:hint="eastAsia"/>
                <w:color w:val="auto"/>
                <w:highlight w:val="none"/>
              </w:rPr>
              <w:t>规模、</w:t>
            </w:r>
            <w:r>
              <w:rPr>
                <w:color w:val="auto"/>
                <w:highlight w:val="none"/>
              </w:rPr>
              <w:t>荣誉和产品品牌知名度、认可度</w:t>
            </w:r>
            <w:r>
              <w:rPr>
                <w:rFonts w:hint="eastAsia"/>
                <w:color w:val="auto"/>
                <w:highlight w:val="none"/>
              </w:rPr>
              <w:t>，酌情给分。优秀得</w:t>
            </w:r>
            <w:r>
              <w:rPr>
                <w:color w:val="auto"/>
                <w:highlight w:val="none"/>
              </w:rPr>
              <w:t>3</w:t>
            </w:r>
            <w:r>
              <w:rPr>
                <w:rFonts w:hint="eastAsia"/>
                <w:color w:val="auto"/>
                <w:highlight w:val="none"/>
              </w:rPr>
              <w:t>.1-</w:t>
            </w:r>
            <w:r>
              <w:rPr>
                <w:color w:val="auto"/>
                <w:highlight w:val="none"/>
              </w:rPr>
              <w:t>5</w:t>
            </w:r>
            <w:r>
              <w:rPr>
                <w:rFonts w:hint="eastAsia"/>
                <w:color w:val="auto"/>
                <w:highlight w:val="none"/>
              </w:rPr>
              <w:t>分，良好1.1-</w:t>
            </w:r>
            <w:r>
              <w:rPr>
                <w:color w:val="auto"/>
                <w:highlight w:val="none"/>
              </w:rPr>
              <w:t>3</w:t>
            </w:r>
            <w:r>
              <w:rPr>
                <w:rFonts w:hint="eastAsia"/>
                <w:color w:val="auto"/>
                <w:highlight w:val="none"/>
              </w:rPr>
              <w:t>分，一般0-1分</w:t>
            </w:r>
          </w:p>
          <w:p>
            <w:pPr>
              <w:rPr>
                <w:b/>
                <w:color w:val="auto"/>
                <w:szCs w:val="21"/>
                <w:highlight w:val="none"/>
              </w:rPr>
            </w:pPr>
            <w:r>
              <w:rPr>
                <w:rFonts w:hint="eastAsia"/>
                <w:color w:val="auto"/>
                <w:highlight w:val="none"/>
              </w:rPr>
              <w:t>备注：本项内容需提供证明材料，否则不得分。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 w:hRule="atLeast"/>
        </w:trPr>
        <w:tc>
          <w:tcPr>
            <w:tcW w:w="1659" w:type="dxa"/>
            <w:tcBorders>
              <w:left w:val="single" w:color="auto" w:sz="4" w:space="0"/>
            </w:tcBorders>
            <w:vAlign w:val="center"/>
          </w:tcPr>
          <w:p>
            <w:pPr>
              <w:jc w:val="center"/>
              <w:rPr>
                <w:color w:val="auto"/>
                <w:highlight w:val="none"/>
              </w:rPr>
            </w:pPr>
            <w:r>
              <w:rPr>
                <w:color w:val="auto"/>
                <w:highlight w:val="none"/>
              </w:rPr>
              <w:t>产品销售业绩</w:t>
            </w:r>
          </w:p>
        </w:tc>
        <w:tc>
          <w:tcPr>
            <w:tcW w:w="760" w:type="dxa"/>
            <w:tcBorders>
              <w:left w:val="single" w:color="auto" w:sz="4" w:space="0"/>
            </w:tcBorders>
            <w:vAlign w:val="center"/>
          </w:tcPr>
          <w:p>
            <w:pPr>
              <w:jc w:val="center"/>
              <w:rPr>
                <w:b/>
                <w:color w:val="auto"/>
                <w:szCs w:val="21"/>
                <w:highlight w:val="none"/>
              </w:rPr>
            </w:pPr>
            <w:r>
              <w:rPr>
                <w:b/>
                <w:color w:val="auto"/>
                <w:szCs w:val="21"/>
                <w:highlight w:val="none"/>
              </w:rPr>
              <w:t>5分</w:t>
            </w:r>
          </w:p>
        </w:tc>
        <w:tc>
          <w:tcPr>
            <w:tcW w:w="6336" w:type="dxa"/>
            <w:tcBorders>
              <w:left w:val="single" w:color="auto" w:sz="4" w:space="0"/>
            </w:tcBorders>
            <w:vAlign w:val="center"/>
          </w:tcPr>
          <w:p>
            <w:pPr>
              <w:rPr>
                <w:color w:val="auto"/>
                <w:szCs w:val="21"/>
                <w:highlight w:val="none"/>
              </w:rPr>
            </w:pPr>
            <w:r>
              <w:rPr>
                <w:rFonts w:hint="eastAsia"/>
                <w:color w:val="auto"/>
                <w:szCs w:val="21"/>
                <w:highlight w:val="none"/>
              </w:rPr>
              <w:t>2021年1月1日至今，投标人具</w:t>
            </w:r>
            <w:r>
              <w:rPr>
                <w:color w:val="auto"/>
                <w:szCs w:val="21"/>
                <w:highlight w:val="none"/>
              </w:rPr>
              <w:t>有</w:t>
            </w:r>
            <w:r>
              <w:rPr>
                <w:rFonts w:hint="eastAsia"/>
                <w:color w:val="auto"/>
                <w:szCs w:val="21"/>
                <w:highlight w:val="none"/>
              </w:rPr>
              <w:t>1个及以上类似项目业绩的，得</w:t>
            </w:r>
            <w:r>
              <w:rPr>
                <w:color w:val="auto"/>
                <w:szCs w:val="21"/>
                <w:highlight w:val="none"/>
              </w:rPr>
              <w:t>5</w:t>
            </w:r>
            <w:r>
              <w:rPr>
                <w:rFonts w:hint="eastAsia"/>
                <w:color w:val="auto"/>
                <w:szCs w:val="21"/>
                <w:highlight w:val="none"/>
              </w:rPr>
              <w:t>分。</w:t>
            </w:r>
          </w:p>
          <w:p>
            <w:pPr>
              <w:rPr>
                <w:color w:val="auto"/>
                <w:szCs w:val="21"/>
                <w:highlight w:val="none"/>
              </w:rPr>
            </w:pPr>
            <w:r>
              <w:rPr>
                <w:rFonts w:hint="eastAsia"/>
                <w:color w:val="auto"/>
                <w:szCs w:val="21"/>
                <w:highlight w:val="none"/>
              </w:rPr>
              <w:t>（投标文件</w:t>
            </w:r>
            <w:r>
              <w:rPr>
                <w:color w:val="auto"/>
                <w:szCs w:val="21"/>
                <w:highlight w:val="none"/>
              </w:rPr>
              <w:t>须提供合同复印件并加盖投标人公章，时间以合同最终签署时间为准</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 w:hRule="atLeast"/>
        </w:trPr>
        <w:tc>
          <w:tcPr>
            <w:tcW w:w="8755" w:type="dxa"/>
            <w:gridSpan w:val="3"/>
            <w:tcBorders>
              <w:left w:val="single" w:color="auto" w:sz="4" w:space="0"/>
            </w:tcBorders>
            <w:vAlign w:val="center"/>
          </w:tcPr>
          <w:p>
            <w:pPr>
              <w:jc w:val="center"/>
              <w:rPr>
                <w:color w:val="auto"/>
                <w:szCs w:val="21"/>
                <w:highlight w:val="none"/>
              </w:rPr>
            </w:pPr>
            <w:r>
              <w:rPr>
                <w:rFonts w:hint="eastAsia"/>
                <w:b/>
                <w:color w:val="auto"/>
                <w:szCs w:val="21"/>
                <w:highlight w:val="none"/>
              </w:rPr>
              <w:t>技术得分（30分）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trPr>
        <w:tc>
          <w:tcPr>
            <w:tcW w:w="1659" w:type="dxa"/>
            <w:tcBorders>
              <w:left w:val="single" w:color="auto" w:sz="4" w:space="0"/>
            </w:tcBorders>
            <w:vAlign w:val="center"/>
          </w:tcPr>
          <w:p>
            <w:pPr>
              <w:jc w:val="center"/>
              <w:rPr>
                <w:color w:val="auto"/>
                <w:highlight w:val="none"/>
                <w:lang w:val="zh-CN"/>
              </w:rPr>
            </w:pPr>
            <w:r>
              <w:rPr>
                <w:rFonts w:hint="eastAsia"/>
                <w:color w:val="auto"/>
                <w:highlight w:val="none"/>
              </w:rPr>
              <w:t>供货方案</w:t>
            </w:r>
          </w:p>
        </w:tc>
        <w:tc>
          <w:tcPr>
            <w:tcW w:w="760" w:type="dxa"/>
            <w:tcBorders>
              <w:left w:val="single" w:color="auto" w:sz="4" w:space="0"/>
            </w:tcBorders>
            <w:vAlign w:val="center"/>
          </w:tcPr>
          <w:p>
            <w:pPr>
              <w:jc w:val="center"/>
              <w:rPr>
                <w:color w:val="auto"/>
                <w:highlight w:val="none"/>
              </w:rPr>
            </w:pPr>
            <w:r>
              <w:rPr>
                <w:rFonts w:hint="eastAsia"/>
                <w:color w:val="auto"/>
                <w:highlight w:val="none"/>
              </w:rPr>
              <w:t>8分</w:t>
            </w:r>
          </w:p>
        </w:tc>
        <w:tc>
          <w:tcPr>
            <w:tcW w:w="6336" w:type="dxa"/>
            <w:tcBorders>
              <w:left w:val="single" w:color="auto" w:sz="4" w:space="0"/>
            </w:tcBorders>
            <w:vAlign w:val="center"/>
          </w:tcPr>
          <w:p>
            <w:pPr>
              <w:jc w:val="left"/>
              <w:rPr>
                <w:color w:val="auto"/>
                <w:highlight w:val="none"/>
              </w:rPr>
            </w:pPr>
            <w:r>
              <w:rPr>
                <w:rFonts w:hint="eastAsia"/>
                <w:color w:val="auto"/>
                <w:highlight w:val="none"/>
              </w:rPr>
              <w:t>根据供应商针对本项目的供货方案（包括货源、备货、运输、供货等）综合评定， 优秀得6.1-8分，良好4.1-6分，一般0-4分。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659" w:type="dxa"/>
            <w:tcBorders>
              <w:left w:val="single" w:color="auto" w:sz="4" w:space="0"/>
            </w:tcBorders>
            <w:vAlign w:val="center"/>
          </w:tcPr>
          <w:p>
            <w:pPr>
              <w:jc w:val="center"/>
              <w:rPr>
                <w:color w:val="auto"/>
                <w:highlight w:val="none"/>
              </w:rPr>
            </w:pPr>
            <w:r>
              <w:rPr>
                <w:rFonts w:hint="eastAsia"/>
                <w:color w:val="auto"/>
                <w:highlight w:val="none"/>
              </w:rPr>
              <w:t>质量保证方案</w:t>
            </w:r>
          </w:p>
        </w:tc>
        <w:tc>
          <w:tcPr>
            <w:tcW w:w="760" w:type="dxa"/>
            <w:tcBorders>
              <w:left w:val="single" w:color="auto" w:sz="4" w:space="0"/>
            </w:tcBorders>
            <w:vAlign w:val="center"/>
          </w:tcPr>
          <w:p>
            <w:pPr>
              <w:jc w:val="center"/>
              <w:rPr>
                <w:color w:val="auto"/>
                <w:highlight w:val="none"/>
              </w:rPr>
            </w:pPr>
            <w:r>
              <w:rPr>
                <w:rFonts w:hint="eastAsia"/>
                <w:color w:val="auto"/>
                <w:highlight w:val="none"/>
              </w:rPr>
              <w:t>8分</w:t>
            </w:r>
          </w:p>
        </w:tc>
        <w:tc>
          <w:tcPr>
            <w:tcW w:w="6336" w:type="dxa"/>
            <w:tcBorders>
              <w:left w:val="single" w:color="auto" w:sz="4" w:space="0"/>
            </w:tcBorders>
            <w:vAlign w:val="center"/>
          </w:tcPr>
          <w:p>
            <w:pPr>
              <w:jc w:val="left"/>
              <w:rPr>
                <w:color w:val="auto"/>
                <w:highlight w:val="none"/>
              </w:rPr>
            </w:pPr>
            <w:r>
              <w:rPr>
                <w:rFonts w:hint="eastAsia"/>
                <w:color w:val="auto"/>
                <w:highlight w:val="none"/>
              </w:rPr>
              <w:t>根据供应商质量保证措施及承诺综合评定。优秀得6.1-8分，良好4.1-6分，一般0-4分。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659" w:type="dxa"/>
            <w:tcBorders>
              <w:left w:val="single" w:color="auto" w:sz="4" w:space="0"/>
            </w:tcBorders>
            <w:vAlign w:val="center"/>
          </w:tcPr>
          <w:p>
            <w:pPr>
              <w:jc w:val="center"/>
              <w:rPr>
                <w:color w:val="auto"/>
                <w:highlight w:val="none"/>
              </w:rPr>
            </w:pPr>
            <w:r>
              <w:rPr>
                <w:rFonts w:hint="eastAsia"/>
                <w:color w:val="auto"/>
                <w:highlight w:val="none"/>
              </w:rPr>
              <w:t>供货响应时间承诺</w:t>
            </w:r>
          </w:p>
        </w:tc>
        <w:tc>
          <w:tcPr>
            <w:tcW w:w="760" w:type="dxa"/>
            <w:tcBorders>
              <w:left w:val="single" w:color="auto" w:sz="4" w:space="0"/>
            </w:tcBorders>
            <w:vAlign w:val="center"/>
          </w:tcPr>
          <w:p>
            <w:pPr>
              <w:jc w:val="center"/>
              <w:rPr>
                <w:color w:val="auto"/>
                <w:highlight w:val="none"/>
              </w:rPr>
            </w:pPr>
            <w:r>
              <w:rPr>
                <w:rFonts w:hint="eastAsia"/>
                <w:color w:val="auto"/>
                <w:highlight w:val="none"/>
              </w:rPr>
              <w:t>6分</w:t>
            </w:r>
          </w:p>
        </w:tc>
        <w:tc>
          <w:tcPr>
            <w:tcW w:w="6336" w:type="dxa"/>
            <w:tcBorders>
              <w:left w:val="single" w:color="auto" w:sz="4" w:space="0"/>
            </w:tcBorders>
            <w:vAlign w:val="center"/>
          </w:tcPr>
          <w:p>
            <w:pPr>
              <w:jc w:val="left"/>
              <w:rPr>
                <w:color w:val="auto"/>
                <w:highlight w:val="none"/>
              </w:rPr>
            </w:pPr>
            <w:r>
              <w:rPr>
                <w:rFonts w:hint="eastAsia"/>
                <w:color w:val="auto"/>
                <w:highlight w:val="none"/>
              </w:rPr>
              <w:t>供应商承诺接单后送货时效在24小时以内送达指定地点的得6分，36小时以内送达指定地点的得3分，72小时及以上送达指定地点的不得分。（急用的除外，供应商需提供承诺书，不承诺不得分)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659" w:type="dxa"/>
            <w:tcBorders>
              <w:left w:val="single" w:color="auto" w:sz="4" w:space="0"/>
            </w:tcBorders>
            <w:vAlign w:val="center"/>
          </w:tcPr>
          <w:p>
            <w:pPr>
              <w:jc w:val="center"/>
              <w:rPr>
                <w:color w:val="auto"/>
                <w:highlight w:val="none"/>
              </w:rPr>
            </w:pPr>
            <w:r>
              <w:rPr>
                <w:rFonts w:hint="eastAsia"/>
                <w:color w:val="auto"/>
                <w:highlight w:val="none"/>
              </w:rPr>
              <w:t>售后服务方案</w:t>
            </w:r>
          </w:p>
        </w:tc>
        <w:tc>
          <w:tcPr>
            <w:tcW w:w="760" w:type="dxa"/>
            <w:tcBorders>
              <w:left w:val="single" w:color="auto" w:sz="4" w:space="0"/>
            </w:tcBorders>
            <w:vAlign w:val="center"/>
          </w:tcPr>
          <w:p>
            <w:pPr>
              <w:jc w:val="center"/>
              <w:rPr>
                <w:color w:val="auto"/>
                <w:highlight w:val="none"/>
              </w:rPr>
            </w:pPr>
            <w:r>
              <w:rPr>
                <w:rFonts w:hint="eastAsia"/>
                <w:color w:val="auto"/>
                <w:highlight w:val="none"/>
              </w:rPr>
              <w:t>4分</w:t>
            </w:r>
          </w:p>
        </w:tc>
        <w:tc>
          <w:tcPr>
            <w:tcW w:w="6336" w:type="dxa"/>
            <w:tcBorders>
              <w:left w:val="single" w:color="auto" w:sz="4" w:space="0"/>
            </w:tcBorders>
            <w:vAlign w:val="center"/>
          </w:tcPr>
          <w:p>
            <w:pPr>
              <w:jc w:val="left"/>
              <w:rPr>
                <w:color w:val="auto"/>
                <w:highlight w:val="none"/>
              </w:rPr>
            </w:pPr>
            <w:r>
              <w:rPr>
                <w:rFonts w:hint="eastAsia"/>
                <w:color w:val="auto"/>
                <w:highlight w:val="none"/>
              </w:rPr>
              <w:t>售后服务方案，包括但不限于服务响应时间、质量解决方案、售后服务情况；对交货后不合理的货物及保质期内出现问题的货物采取的措施，在有效期内上门服务以及承诺的可行性、完整性、服务承诺落实的保障措施等。优秀得2.1-4分，良好1.1-2分，一般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659" w:type="dxa"/>
            <w:tcBorders>
              <w:left w:val="single" w:color="auto" w:sz="4" w:space="0"/>
            </w:tcBorders>
            <w:vAlign w:val="center"/>
          </w:tcPr>
          <w:p>
            <w:pPr>
              <w:jc w:val="center"/>
              <w:rPr>
                <w:color w:val="auto"/>
                <w:highlight w:val="none"/>
              </w:rPr>
            </w:pPr>
            <w:r>
              <w:rPr>
                <w:rFonts w:hint="eastAsia"/>
                <w:color w:val="auto"/>
                <w:highlight w:val="none"/>
              </w:rPr>
              <w:t>突发应急性事件应急处理方案</w:t>
            </w:r>
          </w:p>
        </w:tc>
        <w:tc>
          <w:tcPr>
            <w:tcW w:w="760" w:type="dxa"/>
            <w:tcBorders>
              <w:left w:val="single" w:color="auto" w:sz="4" w:space="0"/>
            </w:tcBorders>
            <w:vAlign w:val="center"/>
          </w:tcPr>
          <w:p>
            <w:pPr>
              <w:jc w:val="center"/>
              <w:rPr>
                <w:color w:val="auto"/>
                <w:highlight w:val="none"/>
              </w:rPr>
            </w:pPr>
            <w:r>
              <w:rPr>
                <w:rFonts w:hint="eastAsia"/>
                <w:color w:val="auto"/>
                <w:highlight w:val="none"/>
              </w:rPr>
              <w:t>4分</w:t>
            </w:r>
          </w:p>
        </w:tc>
        <w:tc>
          <w:tcPr>
            <w:tcW w:w="6336" w:type="dxa"/>
            <w:tcBorders>
              <w:left w:val="single" w:color="auto" w:sz="4" w:space="0"/>
            </w:tcBorders>
            <w:vAlign w:val="center"/>
          </w:tcPr>
          <w:p>
            <w:pPr>
              <w:jc w:val="left"/>
              <w:rPr>
                <w:color w:val="auto"/>
                <w:highlight w:val="none"/>
              </w:rPr>
            </w:pPr>
            <w:r>
              <w:rPr>
                <w:rFonts w:hint="eastAsia"/>
                <w:color w:val="auto"/>
                <w:highlight w:val="none"/>
              </w:rPr>
              <w:t>突发应急性事件应急处理方案，根据临时补货、紧急供货、退货后重新补送及节假日、特殊天气（如台风、暴雨、大雾）、疫情等的供货预案，根据供应商接到通知、备货并送达交易人的及时性。优秀得2.1-4分，良好1.1-2分，一般0-1分</w:t>
            </w:r>
          </w:p>
        </w:tc>
      </w:tr>
    </w:tbl>
    <w:p>
      <w:pPr>
        <w:adjustRightInd w:val="0"/>
        <w:snapToGrid w:val="0"/>
        <w:spacing w:line="360" w:lineRule="auto"/>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2.投标文件的商务报价评审 60分</w:t>
      </w:r>
    </w:p>
    <w:p>
      <w:pPr>
        <w:adjustRightInd w:val="0"/>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（1）由评标委员会全体成员对投标文件的报价进行评审。评标专家应对报价的范围、数量、单价、费用组成和总价等进行全面审阅和对比分析，找出报价差异的原因及存在的问题。</w:t>
      </w:r>
    </w:p>
    <w:p>
      <w:pPr>
        <w:adjustRightInd w:val="0"/>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（2）报价评审应以报价口径范围一致的投标评标价为依据。投标评标价应在最终报价的基础上，按照招标文件约定的因素和方法进行计算。</w:t>
      </w:r>
    </w:p>
    <w:p>
      <w:pPr>
        <w:adjustRightInd w:val="0"/>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（3）评标基准价由评标委员会依据下述方法计算，除计算差错外，确认后的评标基准价在本次招标期间保持不变。</w:t>
      </w:r>
    </w:p>
    <w:p>
      <w:pPr>
        <w:adjustRightInd w:val="0"/>
        <w:snapToGrid w:val="0"/>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auto"/>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二次平均法</w:t>
      </w:r>
    </w:p>
    <w:p>
      <w:pPr>
        <w:adjustRightInd w:val="0"/>
        <w:snapToGrid w:val="0"/>
        <w:spacing w:line="360" w:lineRule="auto"/>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（1）评分范围：通过符合性审查的所有投标文件进入评分范围。</w:t>
      </w:r>
    </w:p>
    <w:p>
      <w:pPr>
        <w:adjustRightInd w:val="0"/>
        <w:snapToGrid w:val="0"/>
        <w:spacing w:line="360" w:lineRule="auto"/>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auto"/>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auto"/>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（4）根据投标文件的投标评标价与评标基准价对比，计算投标人的商务报价的得分值。即：</w:t>
      </w:r>
    </w:p>
    <w:p>
      <w:pPr>
        <w:adjustRightInd w:val="0"/>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a.投标评标价等于评标基准价时，得满分60分；</w:t>
      </w:r>
    </w:p>
    <w:p>
      <w:pPr>
        <w:adjustRightInd w:val="0"/>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b.投标评标价每低于评标基准价1个百分点，扣0.5分；</w:t>
      </w:r>
    </w:p>
    <w:p>
      <w:pPr>
        <w:adjustRightInd w:val="0"/>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c.投标评标价每高于评标基准价1个百分点，扣1分。</w:t>
      </w:r>
    </w:p>
    <w:p>
      <w:pPr>
        <w:adjustRightInd w:val="0"/>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以上报价得分不足一个百分点时，使用直线插入法计算，保留小数2位。</w:t>
      </w:r>
    </w:p>
    <w:p>
      <w:pPr>
        <w:pStyle w:val="25"/>
        <w:snapToGrid w:val="0"/>
        <w:spacing w:line="360" w:lineRule="auto"/>
        <w:ind w:firstLine="315" w:firstLineChars="15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投标文件的商务标评分不足30分的，计为30分。</w:t>
      </w:r>
    </w:p>
    <w:p>
      <w:pPr>
        <w:adjustRightInd w:val="0"/>
        <w:snapToGrid w:val="0"/>
        <w:spacing w:line="360" w:lineRule="auto"/>
        <w:ind w:firstLine="422" w:firstLineChars="20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3.投标文件的综合评分：每个投标人最终得分=商务报价分+资信及技术分。</w:t>
      </w:r>
    </w:p>
    <w:p>
      <w:pPr>
        <w:snapToGrid w:val="0"/>
        <w:spacing w:line="360" w:lineRule="auto"/>
        <w:ind w:left="210" w:leftChars="100" w:firstLine="211" w:firstLineChars="1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特别说明：</w:t>
      </w:r>
    </w:p>
    <w:p>
      <w:pPr>
        <w:snapToGrid w:val="0"/>
        <w:spacing w:line="360" w:lineRule="auto"/>
        <w:ind w:firstLine="422" w:firstLineChars="20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1. 投标文件中如有虚假内容者将导致废标。</w:t>
      </w:r>
    </w:p>
    <w:p>
      <w:pPr>
        <w:snapToGrid w:val="0"/>
        <w:spacing w:line="360" w:lineRule="auto"/>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 评分保留小数2位，计算评分过程中保留小数2位。</w:t>
      </w:r>
    </w:p>
    <w:p>
      <w:pPr>
        <w:snapToGrid w:val="0"/>
        <w:spacing w:line="360" w:lineRule="auto"/>
        <w:ind w:firstLine="422" w:firstLineChars="200"/>
        <w:jc w:val="left"/>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投标评标价：如所有有效投标人的增值税税率相同，投标评标价以含税价格进行评审；如有效投标人的增值税税率不同，投标评标价以不含税价格进行评审。不含税价格=《投标函》最终报价/（1+增值税税率）。</w:t>
      </w:r>
    </w:p>
    <w:p>
      <w:pPr>
        <w:adjustRightInd w:val="0"/>
        <w:snapToGrid w:val="0"/>
        <w:spacing w:line="360" w:lineRule="auto"/>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五、其它</w:t>
      </w:r>
    </w:p>
    <w:p>
      <w:pPr>
        <w:adjustRightInd w:val="0"/>
        <w:snapToGrid w:val="0"/>
        <w:spacing w:line="360" w:lineRule="auto"/>
        <w:ind w:firstLine="48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1.评标专家应认真审阅投标文件，对投标文件进行客观公正的评价。对投标文件中存在的问题和对比分析，应记录在专家评审意见表中。</w:t>
      </w:r>
    </w:p>
    <w:p>
      <w:pPr>
        <w:adjustRightInd w:val="0"/>
        <w:snapToGrid w:val="0"/>
        <w:spacing w:line="360" w:lineRule="auto"/>
        <w:ind w:firstLine="48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2.评标在保密的情况下进行，评标专家及有关人员应遵守评标纪律，不得泄露任何评标信息或收受投标人的财物。如有违反，将严肃查处。</w:t>
      </w:r>
    </w:p>
    <w:p>
      <w:pPr>
        <w:adjustRightInd w:val="0"/>
        <w:snapToGrid w:val="0"/>
        <w:spacing w:line="360" w:lineRule="auto"/>
        <w:ind w:firstLine="480"/>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rPr>
        <w:t>3.投标人不得打听评标信息或干扰评标工作。</w:t>
      </w:r>
    </w:p>
    <w:p>
      <w:pPr>
        <w:adjustRightInd w:val="0"/>
        <w:snapToGrid w:val="0"/>
        <w:spacing w:line="360" w:lineRule="auto"/>
        <w:jc w:val="left"/>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六、定标</w:t>
      </w:r>
    </w:p>
    <w:p>
      <w:pPr>
        <w:adjustRightInd w:val="0"/>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定标由招标人负责。招标人根据评标委员会的评标报告应当确定排名第一的中标候选人为中标人。排名第一的中标候选人放弃中标、因不可抗力不能履行合同、不按照招标文件要求提交履约担保，或者被查实存在影响中标结果的违法行为等情形，不符合中标条件的，招标人可以按照评标委员会提出的中标候选人名单排序依次确定第二中标候选人为中标人，也可以重新招标。</w:t>
      </w:r>
    </w:p>
    <w:p>
      <w:pPr>
        <w:adjustRightInd w:val="0"/>
        <w:snapToGrid w:val="0"/>
        <w:spacing w:line="360" w:lineRule="auto"/>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排名第一的中标候选人因不可抗力之外的原因放弃中标权的，必须按招标文件的规定没收其投标保证金。没收的投标保证金不能弥补由于其放弃中标权而给招标人造成报价的差额损失的，由放弃中标权的中标人承担。</w:t>
      </w:r>
    </w:p>
    <w:p>
      <w:pPr>
        <w:snapToGrid w:val="0"/>
        <w:spacing w:line="360" w:lineRule="auto"/>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p>
      <w:pPr>
        <w:snapToGrid w:val="0"/>
        <w:spacing w:line="360" w:lineRule="auto"/>
        <w:rPr>
          <w:rFonts w:asciiTheme="minorEastAsia" w:hAnsiTheme="minorEastAsia" w:eastAsiaTheme="minorEastAsia" w:cstheme="minorEastAsia"/>
          <w:color w:val="auto"/>
          <w:highlight w:val="none"/>
        </w:rPr>
      </w:pPr>
    </w:p>
    <w:p>
      <w:pPr>
        <w:spacing w:line="360" w:lineRule="auto"/>
        <w:rPr>
          <w:rFonts w:asciiTheme="minorEastAsia" w:hAnsiTheme="minorEastAsia" w:eastAsiaTheme="minorEastAsia" w:cstheme="minorEastAsia"/>
          <w:color w:val="auto"/>
          <w:highlight w:val="none"/>
        </w:rPr>
      </w:pPr>
    </w:p>
    <w:p>
      <w:pPr>
        <w:rPr>
          <w:color w:val="auto"/>
          <w:highlight w:val="none"/>
        </w:rPr>
      </w:pPr>
    </w:p>
    <w:bookmarkEnd w:id="28"/>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MS Mincho">
    <w:altName w:val="Yu Gothic UI"/>
    <w:panose1 w:val="02020609040205080304"/>
    <w:charset w:val="80"/>
    <w:family w:val="modern"/>
    <w:pitch w:val="default"/>
    <w:sig w:usb0="00000000" w:usb1="00000000" w:usb2="00000012" w:usb3="00000000" w:csb0="4002009F" w:csb1="DFD70000"/>
  </w:font>
  <w:font w:name="Songti SC Regular">
    <w:altName w:val="微软雅黑"/>
    <w:panose1 w:val="00000000000000000000"/>
    <w:charset w:val="00"/>
    <w:family w:val="roman"/>
    <w:pitch w:val="default"/>
    <w:sig w:usb0="00000000" w:usb1="00000000" w:usb2="00000000"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3000509000000000000"/>
    <w:charset w:val="86"/>
    <w:family w:val="script"/>
    <w:pitch w:val="default"/>
    <w:sig w:usb0="00000000" w:usb1="00000000" w:usb2="00000010" w:usb3="00000000" w:csb0="00040000"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1</w: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9"/>
      </w:rPr>
    </w:pPr>
    <w:r>
      <w:fldChar w:fldCharType="begin"/>
    </w:r>
    <w:r>
      <w:rPr>
        <w:rStyle w:val="19"/>
        <w:kern w:val="2"/>
        <w:sz w:val="21"/>
        <w:szCs w:val="24"/>
      </w:rPr>
      <w:instrText xml:space="preserve">PAGE  </w:instrTex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sz w:val="18"/>
        <w:szCs w:val="18"/>
      </w:rPr>
    </w:pPr>
    <w:r>
      <w:rPr>
        <w:sz w:val="18"/>
        <w:szCs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fill on="f" focussize="0,0"/>
              <v:stroke on="f" weight="0.5pt"/>
              <v:imagedata o:title=""/>
              <o:lock v:ext="edit" aspectratio="f"/>
              <v:textbox inset="0mm,0mm,0mm,0mm" style="mso-fit-shape-to-text:t;">
                <w:txbxContent>
                  <w:p>
                    <w:pPr>
                      <w:snapToGrid w:val="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180"/>
      <w:rPr>
        <w:rStyle w:val="19"/>
      </w:rPr>
    </w:pPr>
    <w:r>
      <w:fldChar w:fldCharType="begin"/>
    </w:r>
    <w:r>
      <w:rPr>
        <w:rStyle w:val="19"/>
        <w:kern w:val="2"/>
        <w:sz w:val="21"/>
        <w:szCs w:val="24"/>
      </w:rPr>
      <w:instrText xml:space="preserve">PAGE  </w:instrText>
    </w:r>
    <w:r>
      <w:fldChar w:fldCharType="separate"/>
    </w:r>
    <w:r>
      <w:rPr>
        <w:rStyle w:val="19"/>
        <w:kern w:val="2"/>
        <w:sz w:val="21"/>
        <w:szCs w:val="24"/>
      </w:rPr>
      <w:t>28</w:t>
    </w:r>
    <w:r>
      <w:fldChar w:fldCharType="end"/>
    </w:r>
  </w:p>
  <w:p>
    <w:pPr>
      <w:pStyle w:val="11"/>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70"/>
      <w:rPr>
        <w:rFonts w:eastAsia="Times New Roman"/>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42</w:t>
                          </w:r>
                          <w:r>
                            <w:rPr>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LWczAgAAZQ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s3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SLWc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42</w:t>
                    </w:r>
                    <w:r>
                      <w:rPr>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 MERGEFORMAT </w:instrText>
    </w:r>
    <w:r>
      <w:fldChar w:fldCharType="separate"/>
    </w:r>
    <w:r>
      <w:rPr>
        <w:lang w:val="zh-CN"/>
      </w:rPr>
      <w:t>61</w:t>
    </w:r>
    <w:r>
      <w:fldChar w:fldCharType="end"/>
    </w:r>
  </w:p>
  <w:p>
    <w:pPr>
      <w:pStyle w:val="11"/>
      <w:ind w:left="337" w:hanging="337"/>
    </w:pPr>
  </w:p>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337" w:hanging="337"/>
    </w:pPr>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337" w:hanging="33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w:drawing>
        <wp:anchor distT="0" distB="0" distL="114300" distR="114300" simplePos="0" relativeHeight="251737088" behindDoc="1" locked="0" layoutInCell="1" allowOverlap="1">
          <wp:simplePos x="0" y="0"/>
          <wp:positionH relativeFrom="margin">
            <wp:align>center</wp:align>
          </wp:positionH>
          <wp:positionV relativeFrom="margin">
            <wp:align>center</wp:align>
          </wp:positionV>
          <wp:extent cx="5191125" cy="3334385"/>
          <wp:effectExtent l="0" t="0" r="9525" b="18415"/>
          <wp:wrapNone/>
          <wp:docPr id="5" name="WordPictureWatermark86930" descr="招标文件水印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6930" descr="招标文件水印图片"/>
                  <pic:cNvPicPr>
                    <a:picLocks noChangeAspect="1"/>
                  </pic:cNvPicPr>
                </pic:nvPicPr>
                <pic:blipFill>
                  <a:blip r:embed="rId1"/>
                  <a:stretch>
                    <a:fillRect/>
                  </a:stretch>
                </pic:blipFill>
                <pic:spPr>
                  <a:xfrm>
                    <a:off x="0" y="0"/>
                    <a:ext cx="5191125" cy="3334385"/>
                  </a:xfrm>
                  <a:prstGeom prst="rect">
                    <a:avLst/>
                  </a:prstGeom>
                  <a:noFill/>
                  <a:ln>
                    <a:noFill/>
                  </a:ln>
                </pic:spPr>
              </pic:pic>
            </a:graphicData>
          </a:graphic>
        </wp:anchor>
      </w:drawing>
    </w:r>
    <w:r>
      <w:rPr>
        <w:rFonts w:hint="eastAsia" w:ascii="宋体" w:hAnsi="宋体"/>
        <w:bCs/>
      </w:rPr>
      <w:t xml:space="preserve">招标文件                                        </w:t>
    </w:r>
    <w:r>
      <w:rPr>
        <w:rFonts w:ascii="宋体" w:hAnsi="宋体"/>
        <w:bCs/>
      </w:rPr>
      <w:t xml:space="preserve"> </w:t>
    </w:r>
    <w:r>
      <w:rPr>
        <w:rFonts w:hint="eastAsia" w:ascii="宋体" w:hAnsi="宋体"/>
        <w:bCs/>
      </w:rPr>
      <w:t xml:space="preserve"> </w:t>
    </w:r>
    <w:r>
      <w:rPr>
        <w:rFonts w:ascii="宋体" w:hAnsi="宋体"/>
        <w:bCs/>
      </w:rPr>
      <w:t>WWW.NINGBO-AIRPORT.COM</w:t>
    </w:r>
    <w:r>
      <w:rPr>
        <w:rFonts w:hint="eastAsia" w:ascii="宋体" w:hAnsi="宋体"/>
        <w:bCs/>
      </w:rPr>
      <w:t>宁波机场集团有限公司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drawing>
        <wp:anchor distT="0" distB="0" distL="114300" distR="114300" simplePos="0" relativeHeight="251738112" behindDoc="1" locked="0" layoutInCell="1" allowOverlap="1">
          <wp:simplePos x="0" y="0"/>
          <wp:positionH relativeFrom="margin">
            <wp:align>center</wp:align>
          </wp:positionH>
          <wp:positionV relativeFrom="margin">
            <wp:align>center</wp:align>
          </wp:positionV>
          <wp:extent cx="5191125" cy="3334385"/>
          <wp:effectExtent l="0" t="0" r="9525" b="18415"/>
          <wp:wrapNone/>
          <wp:docPr id="6" name="WordPictureWatermark128277" descr="招标文件水印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128277" descr="招标文件水印图片"/>
                  <pic:cNvPicPr>
                    <a:picLocks noChangeAspect="1"/>
                  </pic:cNvPicPr>
                </pic:nvPicPr>
                <pic:blipFill>
                  <a:blip r:embed="rId1"/>
                  <a:stretch>
                    <a:fillRect/>
                  </a:stretch>
                </pic:blipFill>
                <pic:spPr>
                  <a:xfrm>
                    <a:off x="0" y="0"/>
                    <a:ext cx="5191125" cy="33343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rPr>
        <w:sz w:val="18"/>
        <w:szCs w:val="18"/>
      </w:rPr>
    </w:pPr>
    <w:r>
      <w:rPr>
        <w:sz w:val="18"/>
        <w:szCs w:val="18"/>
      </w:rPr>
      <w:drawing>
        <wp:anchor distT="0" distB="0" distL="114300" distR="114300" simplePos="0" relativeHeight="251742208" behindDoc="1" locked="0" layoutInCell="1" allowOverlap="1">
          <wp:simplePos x="0" y="0"/>
          <wp:positionH relativeFrom="margin">
            <wp:align>center</wp:align>
          </wp:positionH>
          <wp:positionV relativeFrom="margin">
            <wp:align>center</wp:align>
          </wp:positionV>
          <wp:extent cx="5191125" cy="3334385"/>
          <wp:effectExtent l="0" t="0" r="9525" b="18415"/>
          <wp:wrapNone/>
          <wp:docPr id="28" name="WordPictureWatermark86930" descr="招标文件水印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86930" descr="招标文件水印图片"/>
                  <pic:cNvPicPr>
                    <a:picLocks noChangeAspect="1"/>
                  </pic:cNvPicPr>
                </pic:nvPicPr>
                <pic:blipFill>
                  <a:blip r:embed="rId1"/>
                  <a:stretch>
                    <a:fillRect/>
                  </a:stretch>
                </pic:blipFill>
                <pic:spPr>
                  <a:xfrm>
                    <a:off x="0" y="0"/>
                    <a:ext cx="5191125" cy="3334385"/>
                  </a:xfrm>
                  <a:prstGeom prst="rect">
                    <a:avLst/>
                  </a:prstGeom>
                  <a:noFill/>
                  <a:ln>
                    <a:noFill/>
                  </a:ln>
                </pic:spPr>
              </pic:pic>
            </a:graphicData>
          </a:graphic>
        </wp:anchor>
      </w:drawing>
    </w:r>
    <w:r>
      <w:rPr>
        <w:rFonts w:hint="eastAsia" w:ascii="宋体" w:hAnsi="宋体"/>
        <w:bCs/>
        <w:sz w:val="18"/>
        <w:szCs w:val="18"/>
      </w:rPr>
      <w:t xml:space="preserve">招标文件                                          </w:t>
    </w:r>
    <w:r>
      <w:rPr>
        <w:rFonts w:ascii="宋体" w:hAnsi="宋体"/>
        <w:bCs/>
        <w:sz w:val="18"/>
        <w:szCs w:val="18"/>
      </w:rPr>
      <w:t>WWW.NINGBO-AIRPORT.COM</w:t>
    </w:r>
    <w:r>
      <w:rPr>
        <w:rFonts w:hint="eastAsia" w:ascii="宋体" w:hAnsi="宋体"/>
        <w:bCs/>
        <w:sz w:val="18"/>
        <w:szCs w:val="18"/>
      </w:rPr>
      <w:t>宁波机场集团有限公司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37" w:hanging="337"/>
    </w:pPr>
    <w:r>
      <w:drawing>
        <wp:anchor distT="0" distB="0" distL="114300" distR="114300" simplePos="0" relativeHeight="251739136" behindDoc="1" locked="0" layoutInCell="1" allowOverlap="1">
          <wp:simplePos x="0" y="0"/>
          <wp:positionH relativeFrom="margin">
            <wp:align>center</wp:align>
          </wp:positionH>
          <wp:positionV relativeFrom="margin">
            <wp:align>center</wp:align>
          </wp:positionV>
          <wp:extent cx="5191125" cy="3334385"/>
          <wp:effectExtent l="0" t="0" r="9525" b="18415"/>
          <wp:wrapNone/>
          <wp:docPr id="1" name="WordPictureWatermark140806" descr="招标文件水印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40806" descr="招标文件水印图片"/>
                  <pic:cNvPicPr>
                    <a:picLocks noChangeAspect="1"/>
                  </pic:cNvPicPr>
                </pic:nvPicPr>
                <pic:blipFill>
                  <a:blip r:embed="rId1"/>
                  <a:stretch>
                    <a:fillRect/>
                  </a:stretch>
                </pic:blipFill>
                <pic:spPr>
                  <a:xfrm>
                    <a:off x="0" y="0"/>
                    <a:ext cx="5191125" cy="3334385"/>
                  </a:xfrm>
                  <a:prstGeom prst="rect">
                    <a:avLst/>
                  </a:prstGeom>
                  <a:noFill/>
                  <a:ln>
                    <a:noFill/>
                  </a:ln>
                </pic:spPr>
              </pic:pic>
            </a:graphicData>
          </a:graphic>
        </wp:anchor>
      </w:drawing>
    </w: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37" w:hanging="337"/>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337" w:hanging="3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C7BD8"/>
    <w:multiLevelType w:val="singleLevel"/>
    <w:tmpl w:val="0FCC7BD8"/>
    <w:lvl w:ilvl="0" w:tentative="0">
      <w:start w:val="1"/>
      <w:numFmt w:val="decimal"/>
      <w:suff w:val="nothing"/>
      <w:lvlText w:val="（%1）"/>
      <w:lvlJc w:val="left"/>
    </w:lvl>
  </w:abstractNum>
  <w:abstractNum w:abstractNumId="1">
    <w:nsid w:val="16B835AB"/>
    <w:multiLevelType w:val="singleLevel"/>
    <w:tmpl w:val="16B835AB"/>
    <w:lvl w:ilvl="0" w:tentative="0">
      <w:start w:val="1"/>
      <w:numFmt w:val="chineseCounting"/>
      <w:suff w:val="nothing"/>
      <w:lvlText w:val="%1、"/>
      <w:lvlJc w:val="left"/>
      <w:rPr>
        <w:rFonts w:hint="eastAsia"/>
      </w:rPr>
    </w:lvl>
  </w:abstractNum>
  <w:abstractNum w:abstractNumId="2">
    <w:nsid w:val="1D466A68"/>
    <w:multiLevelType w:val="singleLevel"/>
    <w:tmpl w:val="1D466A68"/>
    <w:lvl w:ilvl="0" w:tentative="0">
      <w:start w:val="4"/>
      <w:numFmt w:val="chineseCounting"/>
      <w:suff w:val="space"/>
      <w:lvlText w:val="第%1章"/>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dit="readOnly" w:formatting="1" w:enforcement="1" w:cryptProviderType="rsaFull" w:cryptAlgorithmClass="hash" w:cryptAlgorithmType="typeAny" w:cryptAlgorithmSid="4" w:cryptSpinCount="0" w:hash="btzfkj6KQY3lE/IkPkIXsfh73VU=" w:salt="DkwzhlklveA0rS5JSeSts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mODE4NmViOTEzMzVlNzcyNjVmZDE0MWFjMzExYzIifQ=="/>
  </w:docVars>
  <w:rsids>
    <w:rsidRoot w:val="40FC0565"/>
    <w:rsid w:val="0004210E"/>
    <w:rsid w:val="00184CC2"/>
    <w:rsid w:val="002422B8"/>
    <w:rsid w:val="002548EF"/>
    <w:rsid w:val="002712F8"/>
    <w:rsid w:val="00401478"/>
    <w:rsid w:val="00474FA4"/>
    <w:rsid w:val="004921F6"/>
    <w:rsid w:val="005A43F5"/>
    <w:rsid w:val="005D1B81"/>
    <w:rsid w:val="005D21E6"/>
    <w:rsid w:val="00635F40"/>
    <w:rsid w:val="006D26AE"/>
    <w:rsid w:val="00876F9C"/>
    <w:rsid w:val="008D2449"/>
    <w:rsid w:val="009D1EF7"/>
    <w:rsid w:val="00A2543B"/>
    <w:rsid w:val="00AA708E"/>
    <w:rsid w:val="00BF7861"/>
    <w:rsid w:val="00E653E0"/>
    <w:rsid w:val="00EA6263"/>
    <w:rsid w:val="00ED3B9E"/>
    <w:rsid w:val="00F00A2C"/>
    <w:rsid w:val="00F74279"/>
    <w:rsid w:val="00F8692B"/>
    <w:rsid w:val="00FA2DD3"/>
    <w:rsid w:val="026B1259"/>
    <w:rsid w:val="060175EC"/>
    <w:rsid w:val="0CC85C24"/>
    <w:rsid w:val="0E0779D1"/>
    <w:rsid w:val="117D1E36"/>
    <w:rsid w:val="125A4EAA"/>
    <w:rsid w:val="129C494A"/>
    <w:rsid w:val="1765090E"/>
    <w:rsid w:val="1AF56863"/>
    <w:rsid w:val="225453B1"/>
    <w:rsid w:val="25854458"/>
    <w:rsid w:val="28802C55"/>
    <w:rsid w:val="2DFB060A"/>
    <w:rsid w:val="30E47278"/>
    <w:rsid w:val="337C6D94"/>
    <w:rsid w:val="35571045"/>
    <w:rsid w:val="3C4617AF"/>
    <w:rsid w:val="40FC0565"/>
    <w:rsid w:val="417133A3"/>
    <w:rsid w:val="41D86C86"/>
    <w:rsid w:val="42201C89"/>
    <w:rsid w:val="4A733999"/>
    <w:rsid w:val="4E3E0867"/>
    <w:rsid w:val="4FF72BCA"/>
    <w:rsid w:val="52163F6F"/>
    <w:rsid w:val="534B3C6A"/>
    <w:rsid w:val="561520E8"/>
    <w:rsid w:val="5B5419FF"/>
    <w:rsid w:val="60E238CF"/>
    <w:rsid w:val="64231E01"/>
    <w:rsid w:val="6C726497"/>
    <w:rsid w:val="6E1E2DF7"/>
    <w:rsid w:val="773E2C60"/>
    <w:rsid w:val="7E8C1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next w:val="1"/>
    <w:autoRedefine/>
    <w:qFormat/>
    <w:uiPriority w:val="9"/>
    <w:pPr>
      <w:keepNext/>
      <w:keepLines/>
      <w:widowControl w:val="0"/>
      <w:spacing w:before="260" w:after="260" w:line="416" w:lineRule="auto"/>
      <w:jc w:val="both"/>
      <w:outlineLvl w:val="1"/>
    </w:pPr>
    <w:rPr>
      <w:rFonts w:ascii="Cambria" w:hAnsi="Cambria" w:eastAsia="宋体" w:cs="Times New Roman"/>
      <w:b/>
      <w:bCs/>
      <w:kern w:val="2"/>
      <w:sz w:val="32"/>
      <w:szCs w:val="32"/>
      <w:lang w:val="en-US" w:eastAsia="zh-CN" w:bidi="ar-SA"/>
    </w:rPr>
  </w:style>
  <w:style w:type="character" w:default="1" w:styleId="17">
    <w:name w:val="Default Paragraph Font"/>
    <w:autoRedefine/>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style>
  <w:style w:type="paragraph" w:styleId="4">
    <w:name w:val="annotation text"/>
    <w:basedOn w:val="1"/>
    <w:link w:val="28"/>
    <w:autoRedefine/>
    <w:qFormat/>
    <w:uiPriority w:val="0"/>
    <w:pPr>
      <w:jc w:val="left"/>
    </w:pPr>
  </w:style>
  <w:style w:type="paragraph" w:styleId="5">
    <w:name w:val="Body Text"/>
    <w:next w:val="6"/>
    <w:autoRedefine/>
    <w:unhideWhenUsed/>
    <w:qFormat/>
    <w:uiPriority w:val="99"/>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6">
    <w:name w:val="自动更正"/>
    <w:autoRedefine/>
    <w:unhideWhenUsed/>
    <w:qFormat/>
    <w:uiPriority w:val="0"/>
    <w:pPr>
      <w:widowControl w:val="0"/>
      <w:jc w:val="both"/>
    </w:pPr>
    <w:rPr>
      <w:rFonts w:ascii="Times New Roman" w:hAnsi="Times New Roman" w:eastAsia="宋体" w:cs="Times New Roman"/>
      <w:kern w:val="2"/>
      <w:sz w:val="21"/>
      <w:lang w:val="en-US" w:eastAsia="zh-CN" w:bidi="ar-SA"/>
    </w:rPr>
  </w:style>
  <w:style w:type="paragraph" w:styleId="7">
    <w:name w:val="Plain Text"/>
    <w:autoRedefine/>
    <w:qFormat/>
    <w:uiPriority w:val="99"/>
    <w:pPr>
      <w:widowControl w:val="0"/>
      <w:jc w:val="both"/>
    </w:pPr>
    <w:rPr>
      <w:rFonts w:ascii="宋体" w:hAnsi="Courier New" w:eastAsia="宋体" w:cs="Times New Roman"/>
      <w:lang w:val="en-US" w:eastAsia="zh-CN" w:bidi="ar-SA"/>
    </w:rPr>
  </w:style>
  <w:style w:type="paragraph" w:styleId="8">
    <w:name w:val="Date"/>
    <w:next w:val="1"/>
    <w:autoRedefine/>
    <w:qFormat/>
    <w:uiPriority w:val="0"/>
    <w:pPr>
      <w:widowControl w:val="0"/>
      <w:spacing w:line="440" w:lineRule="exact"/>
      <w:ind w:firstLine="100" w:firstLineChars="100"/>
      <w:jc w:val="both"/>
    </w:pPr>
    <w:rPr>
      <w:rFonts w:ascii="Calibri" w:hAnsi="Calibri" w:eastAsia="仿宋_GB2312" w:cs="Times New Roman"/>
      <w:kern w:val="2"/>
      <w:sz w:val="28"/>
      <w:lang w:val="en-US" w:eastAsia="zh-CN" w:bidi="ar-SA"/>
    </w:rPr>
  </w:style>
  <w:style w:type="paragraph" w:styleId="9">
    <w:name w:val="Body Text Indent 2"/>
    <w:autoRedefine/>
    <w:qFormat/>
    <w:uiPriority w:val="0"/>
    <w:pPr>
      <w:widowControl w:val="0"/>
      <w:adjustRightInd w:val="0"/>
      <w:snapToGrid w:val="0"/>
      <w:spacing w:line="500" w:lineRule="atLeast"/>
      <w:ind w:firstLine="552"/>
      <w:textAlignment w:val="baseline"/>
    </w:pPr>
    <w:rPr>
      <w:rFonts w:ascii="仿宋_GB2312" w:hAnsi="Calibri" w:eastAsia="仿宋_GB2312" w:cs="Times New Roman"/>
      <w:sz w:val="28"/>
      <w:lang w:val="en-US" w:eastAsia="zh-CN" w:bidi="ar-SA"/>
    </w:rPr>
  </w:style>
  <w:style w:type="paragraph" w:styleId="10">
    <w:name w:val="Balloon Text"/>
    <w:basedOn w:val="1"/>
    <w:link w:val="30"/>
    <w:autoRedefine/>
    <w:qFormat/>
    <w:uiPriority w:val="0"/>
    <w:rPr>
      <w:sz w:val="18"/>
      <w:szCs w:val="18"/>
    </w:rPr>
  </w:style>
  <w:style w:type="paragraph" w:styleId="11">
    <w:name w:val="footer"/>
    <w:autoRedefine/>
    <w:unhideWhenUsed/>
    <w:qFormat/>
    <w:uiPriority w:val="99"/>
    <w:pPr>
      <w:widowControl w:val="0"/>
      <w:tabs>
        <w:tab w:val="center" w:pos="4153"/>
        <w:tab w:val="right" w:pos="8306"/>
      </w:tabs>
      <w:snapToGrid w:val="0"/>
    </w:pPr>
    <w:rPr>
      <w:rFonts w:ascii="Times New Roman" w:hAnsi="Times New Roman" w:eastAsia="宋体" w:cs="Times New Roman"/>
      <w:sz w:val="18"/>
      <w:szCs w:val="18"/>
      <w:lang w:val="en-US" w:eastAsia="zh-CN" w:bidi="ar-SA"/>
    </w:rPr>
  </w:style>
  <w:style w:type="paragraph" w:styleId="12">
    <w:name w:val="header"/>
    <w:autoRedefine/>
    <w:unhideWhenUsed/>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styleId="13">
    <w:name w:val="toc 1"/>
    <w:next w:val="1"/>
    <w:autoRedefine/>
    <w:qFormat/>
    <w:uiPriority w:val="39"/>
    <w:pPr>
      <w:widowControl w:val="0"/>
      <w:tabs>
        <w:tab w:val="left" w:pos="0"/>
        <w:tab w:val="right" w:leader="dot" w:pos="8280"/>
      </w:tabs>
      <w:adjustRightInd w:val="0"/>
      <w:snapToGrid w:val="0"/>
      <w:spacing w:before="156" w:beforeLines="50" w:after="156" w:afterLines="50" w:line="440" w:lineRule="exact"/>
      <w:ind w:firstLine="100" w:firstLineChars="100"/>
      <w:jc w:val="both"/>
    </w:pPr>
    <w:rPr>
      <w:rFonts w:ascii="Times New Roman" w:hAnsi="Times New Roman" w:eastAsia="宋体" w:cs="Times New Roman"/>
      <w:kern w:val="2"/>
      <w:sz w:val="21"/>
      <w:szCs w:val="24"/>
      <w:lang w:val="en-US" w:eastAsia="zh-CN" w:bidi="ar-SA"/>
    </w:rPr>
  </w:style>
  <w:style w:type="paragraph" w:styleId="14">
    <w:name w:val="annotation subject"/>
    <w:basedOn w:val="4"/>
    <w:next w:val="4"/>
    <w:link w:val="29"/>
    <w:autoRedefine/>
    <w:qFormat/>
    <w:uiPriority w:val="0"/>
    <w:rPr>
      <w:b/>
      <w:bCs/>
    </w:rPr>
  </w:style>
  <w:style w:type="paragraph" w:styleId="15">
    <w:name w:val="Body Text First Indent"/>
    <w:next w:val="1"/>
    <w:autoRedefine/>
    <w:qFormat/>
    <w:uiPriority w:val="0"/>
    <w:pPr>
      <w:widowControl w:val="0"/>
      <w:spacing w:after="120"/>
      <w:ind w:firstLine="420" w:firstLineChars="100"/>
      <w:jc w:val="both"/>
    </w:pPr>
    <w:rPr>
      <w:rFonts w:ascii="Calibri" w:hAnsi="Calibri" w:eastAsia="宋体" w:cs="Times New Roman"/>
      <w:lang w:val="en-US" w:eastAsia="zh-CN" w:bidi="ar-SA"/>
    </w:rPr>
  </w:style>
  <w:style w:type="character" w:styleId="18">
    <w:name w:val="Strong"/>
    <w:autoRedefine/>
    <w:qFormat/>
    <w:uiPriority w:val="0"/>
    <w:rPr>
      <w:b/>
      <w:bCs/>
    </w:rPr>
  </w:style>
  <w:style w:type="character" w:styleId="19">
    <w:name w:val="page number"/>
    <w:autoRedefine/>
    <w:qFormat/>
    <w:uiPriority w:val="0"/>
  </w:style>
  <w:style w:type="character" w:styleId="20">
    <w:name w:val="annotation reference"/>
    <w:basedOn w:val="17"/>
    <w:autoRedefine/>
    <w:qFormat/>
    <w:uiPriority w:val="0"/>
    <w:rPr>
      <w:sz w:val="21"/>
      <w:szCs w:val="21"/>
    </w:rPr>
  </w:style>
  <w:style w:type="character" w:customStyle="1" w:styleId="21">
    <w:name w:val="3zw1"/>
    <w:autoRedefine/>
    <w:qFormat/>
    <w:uiPriority w:val="0"/>
    <w:rPr>
      <w:color w:val="000000"/>
      <w:sz w:val="21"/>
      <w:szCs w:val="21"/>
    </w:rPr>
  </w:style>
  <w:style w:type="character" w:customStyle="1" w:styleId="22">
    <w:name w:val="NormalCharacter"/>
    <w:autoRedefine/>
    <w:qFormat/>
    <w:uiPriority w:val="0"/>
  </w:style>
  <w:style w:type="paragraph" w:customStyle="1" w:styleId="23">
    <w:name w:val="无间隔1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4">
    <w:name w:val="List Paragraph"/>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5">
    <w:name w:val="中等深浅网格 21"/>
    <w:autoRedefine/>
    <w:qFormat/>
    <w:uiPriority w:val="1"/>
    <w:pPr>
      <w:widowControl w:val="0"/>
      <w:jc w:val="both"/>
    </w:pPr>
    <w:rPr>
      <w:rFonts w:ascii="Times New Roman" w:hAnsi="Times New Roman" w:eastAsia="宋体" w:cs="Times New Roman"/>
      <w:kern w:val="2"/>
      <w:sz w:val="21"/>
      <w:szCs w:val="22"/>
      <w:lang w:val="en-US" w:eastAsia="zh-CN" w:bidi="ar-SA"/>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Table Text"/>
    <w:autoRedefine/>
    <w:semiHidden/>
    <w:qFormat/>
    <w:uiPriority w:val="0"/>
    <w:pPr>
      <w:widowControl w:val="0"/>
      <w:jc w:val="both"/>
    </w:pPr>
    <w:rPr>
      <w:rFonts w:ascii="宋体" w:hAnsi="宋体" w:eastAsia="宋体" w:cs="宋体"/>
      <w:kern w:val="2"/>
      <w:lang w:val="en-US" w:eastAsia="en-US" w:bidi="ar-SA"/>
    </w:rPr>
  </w:style>
  <w:style w:type="character" w:customStyle="1" w:styleId="28">
    <w:name w:val="批注文字 字符"/>
    <w:basedOn w:val="17"/>
    <w:link w:val="4"/>
    <w:autoRedefine/>
    <w:qFormat/>
    <w:uiPriority w:val="0"/>
    <w:rPr>
      <w:rFonts w:ascii="Times New Roman" w:hAnsi="Times New Roman" w:eastAsia="宋体" w:cs="Times New Roman"/>
      <w:kern w:val="2"/>
      <w:sz w:val="21"/>
      <w:szCs w:val="24"/>
    </w:rPr>
  </w:style>
  <w:style w:type="character" w:customStyle="1" w:styleId="29">
    <w:name w:val="批注主题 字符"/>
    <w:basedOn w:val="28"/>
    <w:link w:val="14"/>
    <w:autoRedefine/>
    <w:qFormat/>
    <w:uiPriority w:val="0"/>
    <w:rPr>
      <w:rFonts w:ascii="Times New Roman" w:hAnsi="Times New Roman" w:eastAsia="宋体" w:cs="Times New Roman"/>
      <w:b/>
      <w:bCs/>
      <w:kern w:val="2"/>
      <w:sz w:val="21"/>
      <w:szCs w:val="24"/>
    </w:rPr>
  </w:style>
  <w:style w:type="character" w:customStyle="1" w:styleId="30">
    <w:name w:val="批注框文本 字符"/>
    <w:basedOn w:val="17"/>
    <w:link w:val="10"/>
    <w:autoRedefine/>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5133</Words>
  <Characters>29262</Characters>
  <Lines>243</Lines>
  <Paragraphs>68</Paragraphs>
  <TotalTime>19</TotalTime>
  <ScaleCrop>false</ScaleCrop>
  <LinksUpToDate>false</LinksUpToDate>
  <CharactersWithSpaces>34327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2024-04-25T04:19:00Z</dcterms:created>
  <dc:creator>zzzzzz</dc:creator>
  <cp:lastModifiedBy>02</cp:lastModifiedBy>
  <dcterms:modified xsi:type="dcterms:W3CDTF">2024-04-28T05:48:29Z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86D2E3A1A9354F119DF84956BC332946_13</vt:lpwstr>
  </property>
</Properties>
</file>